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4EFFD">
      <w:pPr>
        <w:pStyle w:val="46"/>
        <w:ind w:firstLine="643"/>
        <w:jc w:val="center"/>
        <w:rPr>
          <w:rFonts w:hint="eastAsia" w:asciiTheme="minorEastAsia" w:hAnsiTheme="minorEastAsia" w:eastAsiaTheme="minorEastAsia"/>
          <w:b/>
          <w:bCs/>
          <w:sz w:val="32"/>
          <w:szCs w:val="32"/>
        </w:rPr>
      </w:pPr>
    </w:p>
    <w:p w14:paraId="51206896">
      <w:pPr>
        <w:pStyle w:val="46"/>
        <w:ind w:firstLine="643"/>
        <w:jc w:val="center"/>
        <w:rPr>
          <w:rFonts w:hint="eastAsia" w:asciiTheme="minorEastAsia" w:hAnsiTheme="minorEastAsia" w:eastAsiaTheme="minorEastAsia"/>
          <w:b/>
          <w:bCs/>
          <w:sz w:val="32"/>
          <w:szCs w:val="32"/>
        </w:rPr>
      </w:pPr>
    </w:p>
    <w:p w14:paraId="6E052A83">
      <w:pPr>
        <w:pStyle w:val="46"/>
        <w:ind w:firstLine="643"/>
        <w:jc w:val="center"/>
        <w:rPr>
          <w:rFonts w:hint="eastAsia" w:asciiTheme="minorEastAsia" w:hAnsiTheme="minorEastAsia" w:eastAsiaTheme="minorEastAsia"/>
          <w:b/>
          <w:bCs/>
          <w:sz w:val="32"/>
          <w:szCs w:val="32"/>
        </w:rPr>
      </w:pPr>
    </w:p>
    <w:p w14:paraId="54130A7A">
      <w:pPr>
        <w:pStyle w:val="46"/>
        <w:ind w:firstLine="643"/>
        <w:jc w:val="center"/>
        <w:rPr>
          <w:rFonts w:hint="eastAsia" w:asciiTheme="minorEastAsia" w:hAnsiTheme="minorEastAsia" w:eastAsiaTheme="minorEastAsia"/>
          <w:b/>
          <w:bCs/>
          <w:sz w:val="32"/>
          <w:szCs w:val="32"/>
        </w:rPr>
      </w:pPr>
    </w:p>
    <w:p w14:paraId="1E3E6DFD">
      <w:pPr>
        <w:pStyle w:val="46"/>
        <w:ind w:firstLine="643"/>
        <w:jc w:val="center"/>
        <w:rPr>
          <w:rFonts w:hint="eastAsia" w:asciiTheme="minorEastAsia" w:hAnsiTheme="minorEastAsia" w:eastAsiaTheme="minorEastAsia"/>
          <w:b/>
          <w:bCs/>
          <w:sz w:val="32"/>
          <w:szCs w:val="32"/>
        </w:rPr>
      </w:pPr>
    </w:p>
    <w:p w14:paraId="3CB77FF9">
      <w:pPr>
        <w:pStyle w:val="46"/>
        <w:ind w:firstLine="0" w:firstLineChars="0"/>
        <w:jc w:val="center"/>
        <w:rPr>
          <w:rFonts w:hint="eastAsia" w:asciiTheme="minorEastAsia" w:hAnsiTheme="minorEastAsia" w:eastAsiaTheme="minorEastAsia"/>
          <w:b/>
          <w:bCs/>
          <w:sz w:val="48"/>
          <w:szCs w:val="48"/>
        </w:rPr>
      </w:pPr>
      <w:bookmarkStart w:id="0" w:name="OLE_LINK2"/>
      <w:r>
        <w:rPr>
          <w:rFonts w:hint="eastAsia" w:asciiTheme="minorEastAsia" w:hAnsiTheme="minorEastAsia" w:eastAsiaTheme="minorEastAsia"/>
          <w:b/>
          <w:bCs/>
          <w:sz w:val="48"/>
          <w:szCs w:val="48"/>
        </w:rPr>
        <w:t>《政务服务平台政务服务地图建设技术规范》</w:t>
      </w:r>
      <w:bookmarkEnd w:id="0"/>
      <w:r>
        <w:rPr>
          <w:rFonts w:hint="eastAsia" w:asciiTheme="minorEastAsia" w:hAnsiTheme="minorEastAsia" w:eastAsiaTheme="minorEastAsia"/>
          <w:b/>
          <w:bCs/>
          <w:sz w:val="48"/>
          <w:szCs w:val="48"/>
        </w:rPr>
        <w:t>国家标准（征求意见稿）</w:t>
      </w:r>
    </w:p>
    <w:p w14:paraId="23526B31">
      <w:pPr>
        <w:pStyle w:val="46"/>
        <w:ind w:firstLine="0" w:firstLineChars="0"/>
      </w:pPr>
    </w:p>
    <w:p w14:paraId="66B53CBC">
      <w:pPr>
        <w:pStyle w:val="46"/>
        <w:ind w:firstLine="0" w:firstLineChars="0"/>
        <w:jc w:val="center"/>
        <w:rPr>
          <w:rFonts w:hint="eastAsia" w:asciiTheme="minorEastAsia" w:hAnsiTheme="minorEastAsia" w:eastAsiaTheme="minorEastAsia"/>
          <w:b/>
          <w:bCs/>
          <w:sz w:val="48"/>
          <w:szCs w:val="48"/>
        </w:rPr>
      </w:pPr>
      <w:r>
        <w:rPr>
          <w:rFonts w:hint="eastAsia" w:asciiTheme="minorEastAsia" w:hAnsiTheme="minorEastAsia" w:eastAsiaTheme="minorEastAsia"/>
          <w:b/>
          <w:bCs/>
          <w:sz w:val="48"/>
          <w:szCs w:val="48"/>
        </w:rPr>
        <w:t>编制说明</w:t>
      </w:r>
    </w:p>
    <w:p w14:paraId="4DE8C693">
      <w:pPr>
        <w:pStyle w:val="46"/>
      </w:pPr>
    </w:p>
    <w:p w14:paraId="65751F8B">
      <w:pPr>
        <w:pStyle w:val="46"/>
      </w:pPr>
    </w:p>
    <w:p w14:paraId="4F0930F7">
      <w:pPr>
        <w:pStyle w:val="46"/>
      </w:pPr>
    </w:p>
    <w:p w14:paraId="0D5DC18E">
      <w:pPr>
        <w:pStyle w:val="46"/>
      </w:pPr>
    </w:p>
    <w:p w14:paraId="29B93516">
      <w:pPr>
        <w:pStyle w:val="46"/>
      </w:pPr>
    </w:p>
    <w:p w14:paraId="5AB2BD7D">
      <w:pPr>
        <w:pStyle w:val="46"/>
      </w:pPr>
    </w:p>
    <w:p w14:paraId="53E076AE">
      <w:pPr>
        <w:pStyle w:val="46"/>
      </w:pPr>
    </w:p>
    <w:p w14:paraId="3694F18E">
      <w:pPr>
        <w:pStyle w:val="46"/>
      </w:pPr>
    </w:p>
    <w:p w14:paraId="259830AC">
      <w:pPr>
        <w:pStyle w:val="46"/>
      </w:pPr>
    </w:p>
    <w:p w14:paraId="5E39A6AF">
      <w:pPr>
        <w:pStyle w:val="46"/>
      </w:pPr>
    </w:p>
    <w:p w14:paraId="5EA4CD50">
      <w:pPr>
        <w:pStyle w:val="46"/>
      </w:pPr>
    </w:p>
    <w:p w14:paraId="130747F4">
      <w:pPr>
        <w:pStyle w:val="46"/>
      </w:pPr>
    </w:p>
    <w:p w14:paraId="1461CCE2">
      <w:pPr>
        <w:pStyle w:val="46"/>
      </w:pPr>
    </w:p>
    <w:p w14:paraId="3DB68038">
      <w:pPr>
        <w:pStyle w:val="46"/>
      </w:pPr>
    </w:p>
    <w:p w14:paraId="46714949">
      <w:pPr>
        <w:pStyle w:val="46"/>
        <w:ind w:firstLine="643"/>
        <w:jc w:val="center"/>
        <w:rPr>
          <w:rFonts w:hint="eastAsia" w:asciiTheme="minorEastAsia" w:hAnsiTheme="minorEastAsia" w:eastAsiaTheme="minorEastAsia"/>
          <w:b/>
          <w:bCs/>
          <w:sz w:val="32"/>
          <w:szCs w:val="32"/>
        </w:rPr>
      </w:pPr>
      <w:r>
        <w:rPr>
          <w:rFonts w:hint="eastAsia" w:asciiTheme="minorEastAsia" w:hAnsiTheme="minorEastAsia" w:eastAsiaTheme="minorEastAsia"/>
          <w:b/>
          <w:bCs/>
          <w:sz w:val="32"/>
          <w:szCs w:val="32"/>
        </w:rPr>
        <w:t>2026年7月27日</w:t>
      </w:r>
    </w:p>
    <w:p w14:paraId="63924E18">
      <w:pPr>
        <w:pStyle w:val="46"/>
      </w:pPr>
    </w:p>
    <w:p w14:paraId="403A15F9">
      <w:pPr>
        <w:widowControl/>
        <w:jc w:val="left"/>
        <w:sectPr>
          <w:footerReference r:id="rId3" w:type="default"/>
          <w:pgSz w:w="11906" w:h="16838"/>
          <w:pgMar w:top="1440" w:right="1803" w:bottom="1440" w:left="1803" w:header="851" w:footer="992" w:gutter="0"/>
          <w:pgNumType w:fmt="lowerRoman" w:start="1"/>
          <w:cols w:space="425" w:num="1"/>
          <w:titlePg/>
          <w:docGrid w:type="lines" w:linePitch="312" w:charSpace="0"/>
        </w:sectPr>
      </w:pPr>
    </w:p>
    <w:sdt>
      <w:sdtPr>
        <w:rPr>
          <w:rFonts w:ascii="Times New Roman" w:hAnsi="Times New Roman" w:eastAsia="宋体" w:cs="Times New Roman"/>
          <w:smallCaps/>
          <w:color w:val="auto"/>
          <w:kern w:val="2"/>
          <w:sz w:val="20"/>
          <w:szCs w:val="20"/>
          <w:lang w:val="zh-CN"/>
        </w:rPr>
        <w:id w:val="1201589990"/>
        <w:docPartObj>
          <w:docPartGallery w:val="Table of Contents"/>
          <w:docPartUnique/>
        </w:docPartObj>
      </w:sdtPr>
      <w:sdtEndPr>
        <w:rPr>
          <w:rFonts w:ascii="Times New Roman" w:hAnsi="Times New Roman" w:eastAsia="宋体" w:cs="Times New Roman"/>
          <w:b/>
          <w:bCs/>
          <w:smallCaps/>
          <w:color w:val="auto"/>
          <w:kern w:val="2"/>
          <w:sz w:val="20"/>
          <w:szCs w:val="20"/>
          <w:lang w:val="en-US"/>
        </w:rPr>
      </w:sdtEndPr>
      <w:sdtContent>
        <w:p w14:paraId="04840251">
          <w:pPr>
            <w:pStyle w:val="59"/>
            <w:spacing w:before="0" w:line="240" w:lineRule="auto"/>
            <w:jc w:val="center"/>
            <w:rPr>
              <w:rFonts w:ascii="Times New Roman" w:hAnsi="Times New Roman" w:eastAsia="宋体" w:cs="Times New Roman"/>
              <w:b/>
              <w:bCs/>
              <w:color w:val="auto"/>
              <w:kern w:val="2"/>
              <w:lang w:val="zh-CN"/>
            </w:rPr>
          </w:pPr>
          <w:r>
            <w:rPr>
              <w:rFonts w:ascii="Times New Roman" w:hAnsi="Times New Roman" w:eastAsia="宋体" w:cs="Times New Roman"/>
              <w:b/>
              <w:bCs/>
              <w:color w:val="auto"/>
              <w:kern w:val="2"/>
              <w:lang w:val="zh-CN"/>
            </w:rPr>
            <w:t>目录</w:t>
          </w:r>
        </w:p>
        <w:p w14:paraId="3111DA56">
          <w:pPr>
            <w:pStyle w:val="13"/>
            <w:rPr>
              <w:rFonts w:hint="eastAsia" w:cstheme="minorBidi"/>
              <w:lang w:val="en-US"/>
              <w14:ligatures w14:val="standardContextual"/>
            </w:rPr>
          </w:pPr>
          <w:r>
            <w:rPr>
              <w:sz w:val="30"/>
              <w:szCs w:val="30"/>
            </w:rPr>
            <w:fldChar w:fldCharType="begin"/>
          </w:r>
          <w:r>
            <w:rPr>
              <w:sz w:val="30"/>
              <w:szCs w:val="30"/>
            </w:rPr>
            <w:instrText xml:space="preserve"> TOC \o "1-3" \h \z \u </w:instrText>
          </w:r>
          <w:r>
            <w:rPr>
              <w:sz w:val="30"/>
              <w:szCs w:val="30"/>
            </w:rPr>
            <w:fldChar w:fldCharType="separate"/>
          </w:r>
          <w:r>
            <w:fldChar w:fldCharType="begin"/>
          </w:r>
          <w:r>
            <w:instrText xml:space="preserve"> HYPERLINK \l "_Toc228263005" </w:instrText>
          </w:r>
          <w:r>
            <w:fldChar w:fldCharType="separate"/>
          </w:r>
          <w:r>
            <w:rPr>
              <w:rStyle w:val="20"/>
              <w:rFonts w:hint="eastAsia" w:ascii="黑体" w:hAnsi="黑体" w:eastAsia="黑体"/>
              <w:sz w:val="28"/>
            </w:rPr>
            <w:t>一、工作简况</w:t>
          </w:r>
          <w:r>
            <w:rPr>
              <w:rFonts w:hint="eastAsia"/>
            </w:rPr>
            <w:tab/>
          </w:r>
          <w:r>
            <w:rPr>
              <w:rFonts w:hint="eastAsia"/>
            </w:rPr>
            <w:fldChar w:fldCharType="begin"/>
          </w:r>
          <w:r>
            <w:rPr>
              <w:rFonts w:hint="eastAsia"/>
            </w:rPr>
            <w:instrText xml:space="preserve"> </w:instrText>
          </w:r>
          <w:r>
            <w:instrText xml:space="preserve">PAGEREF _Toc228263005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14F1E3C5">
          <w:pPr>
            <w:pStyle w:val="14"/>
            <w:tabs>
              <w:tab w:val="right" w:leader="dot" w:pos="8290"/>
            </w:tabs>
            <w:spacing w:line="120" w:lineRule="atLeast"/>
            <w:rPr>
              <w:rFonts w:hint="eastAsia" w:ascii="仿宋" w:hAnsi="仿宋" w:eastAsia="仿宋" w:cstheme="minorBidi"/>
              <w:smallCaps w:val="0"/>
              <w:sz w:val="28"/>
              <w:szCs w:val="28"/>
              <w14:ligatures w14:val="standardContextual"/>
            </w:rPr>
          </w:pPr>
          <w:r>
            <w:fldChar w:fldCharType="begin"/>
          </w:r>
          <w:r>
            <w:instrText xml:space="preserve"> HYPERLINK \l "_Toc228263006" </w:instrText>
          </w:r>
          <w:r>
            <w:fldChar w:fldCharType="separate"/>
          </w:r>
          <w:r>
            <w:rPr>
              <w:rStyle w:val="20"/>
              <w:rFonts w:hint="eastAsia" w:ascii="仿宋" w:hAnsi="仿宋" w:eastAsia="仿宋"/>
              <w:sz w:val="28"/>
              <w:szCs w:val="28"/>
            </w:rPr>
            <w:t>（一）任务来源</w:t>
          </w:r>
          <w:r>
            <w:rPr>
              <w:rFonts w:hint="eastAsia" w:ascii="仿宋" w:hAnsi="仿宋" w:eastAsia="仿宋"/>
              <w:sz w:val="28"/>
              <w:szCs w:val="28"/>
            </w:rPr>
            <w:tab/>
          </w:r>
          <w:r>
            <w:rPr>
              <w:rFonts w:hint="eastAsia" w:ascii="仿宋" w:hAnsi="仿宋" w:eastAsia="仿宋"/>
              <w:sz w:val="28"/>
              <w:szCs w:val="28"/>
            </w:rPr>
            <w:fldChar w:fldCharType="begin"/>
          </w:r>
          <w:r>
            <w:rPr>
              <w:rFonts w:hint="eastAsia" w:ascii="仿宋" w:hAnsi="仿宋" w:eastAsia="仿宋"/>
              <w:sz w:val="28"/>
              <w:szCs w:val="28"/>
            </w:rPr>
            <w:instrText xml:space="preserve"> </w:instrText>
          </w:r>
          <w:r>
            <w:rPr>
              <w:rFonts w:ascii="仿宋" w:hAnsi="仿宋" w:eastAsia="仿宋"/>
              <w:sz w:val="28"/>
              <w:szCs w:val="28"/>
            </w:rPr>
            <w:instrText xml:space="preserve">PAGEREF _Toc228263006 \h</w:instrText>
          </w:r>
          <w:r>
            <w:rPr>
              <w:rFonts w:hint="eastAsia" w:ascii="仿宋" w:hAnsi="仿宋" w:eastAsia="仿宋"/>
              <w:sz w:val="28"/>
              <w:szCs w:val="28"/>
            </w:rPr>
            <w:instrText xml:space="preserve"> </w:instrText>
          </w:r>
          <w:r>
            <w:rPr>
              <w:rFonts w:hint="eastAsia" w:ascii="仿宋" w:hAnsi="仿宋" w:eastAsia="仿宋"/>
              <w:sz w:val="28"/>
              <w:szCs w:val="28"/>
            </w:rPr>
            <w:fldChar w:fldCharType="separate"/>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fldChar w:fldCharType="end"/>
          </w:r>
        </w:p>
        <w:p w14:paraId="1EBBBDD5">
          <w:pPr>
            <w:pStyle w:val="14"/>
            <w:tabs>
              <w:tab w:val="right" w:leader="dot" w:pos="8290"/>
            </w:tabs>
            <w:spacing w:line="120" w:lineRule="atLeast"/>
            <w:rPr>
              <w:rFonts w:hint="eastAsia" w:ascii="仿宋" w:hAnsi="仿宋" w:eastAsia="仿宋" w:cstheme="minorBidi"/>
              <w:smallCaps w:val="0"/>
              <w:sz w:val="28"/>
              <w:szCs w:val="28"/>
              <w14:ligatures w14:val="standardContextual"/>
            </w:rPr>
          </w:pPr>
          <w:r>
            <w:fldChar w:fldCharType="begin"/>
          </w:r>
          <w:r>
            <w:instrText xml:space="preserve"> HYPERLINK \l "_Toc228263007" </w:instrText>
          </w:r>
          <w:r>
            <w:fldChar w:fldCharType="separate"/>
          </w:r>
          <w:r>
            <w:rPr>
              <w:rStyle w:val="20"/>
              <w:rFonts w:hint="eastAsia" w:ascii="仿宋" w:hAnsi="仿宋" w:eastAsia="仿宋"/>
              <w:sz w:val="28"/>
              <w:szCs w:val="28"/>
            </w:rPr>
            <w:t>（二）项目背景</w:t>
          </w:r>
          <w:r>
            <w:rPr>
              <w:rFonts w:hint="eastAsia" w:ascii="仿宋" w:hAnsi="仿宋" w:eastAsia="仿宋"/>
              <w:sz w:val="28"/>
              <w:szCs w:val="28"/>
            </w:rPr>
            <w:tab/>
          </w:r>
          <w:r>
            <w:rPr>
              <w:rFonts w:hint="eastAsia" w:ascii="仿宋" w:hAnsi="仿宋" w:eastAsia="仿宋"/>
              <w:sz w:val="28"/>
              <w:szCs w:val="28"/>
            </w:rPr>
            <w:fldChar w:fldCharType="begin"/>
          </w:r>
          <w:r>
            <w:rPr>
              <w:rFonts w:hint="eastAsia" w:ascii="仿宋" w:hAnsi="仿宋" w:eastAsia="仿宋"/>
              <w:sz w:val="28"/>
              <w:szCs w:val="28"/>
            </w:rPr>
            <w:instrText xml:space="preserve"> </w:instrText>
          </w:r>
          <w:r>
            <w:rPr>
              <w:rFonts w:ascii="仿宋" w:hAnsi="仿宋" w:eastAsia="仿宋"/>
              <w:sz w:val="28"/>
              <w:szCs w:val="28"/>
            </w:rPr>
            <w:instrText xml:space="preserve">PAGEREF _Toc228263007 \h</w:instrText>
          </w:r>
          <w:r>
            <w:rPr>
              <w:rFonts w:hint="eastAsia" w:ascii="仿宋" w:hAnsi="仿宋" w:eastAsia="仿宋"/>
              <w:sz w:val="28"/>
              <w:szCs w:val="28"/>
            </w:rPr>
            <w:instrText xml:space="preserve"> </w:instrText>
          </w:r>
          <w:r>
            <w:rPr>
              <w:rFonts w:hint="eastAsia" w:ascii="仿宋" w:hAnsi="仿宋" w:eastAsia="仿宋"/>
              <w:sz w:val="28"/>
              <w:szCs w:val="28"/>
            </w:rPr>
            <w:fldChar w:fldCharType="separate"/>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fldChar w:fldCharType="end"/>
          </w:r>
        </w:p>
        <w:p w14:paraId="236E4FE0">
          <w:pPr>
            <w:pStyle w:val="14"/>
            <w:tabs>
              <w:tab w:val="right" w:leader="dot" w:pos="8290"/>
            </w:tabs>
            <w:spacing w:line="120" w:lineRule="atLeast"/>
            <w:rPr>
              <w:rFonts w:hint="eastAsia" w:ascii="仿宋" w:hAnsi="仿宋" w:eastAsia="仿宋" w:cstheme="minorBidi"/>
              <w:smallCaps w:val="0"/>
              <w:sz w:val="28"/>
              <w:szCs w:val="28"/>
              <w14:ligatures w14:val="standardContextual"/>
            </w:rPr>
          </w:pPr>
          <w:r>
            <w:fldChar w:fldCharType="begin"/>
          </w:r>
          <w:r>
            <w:instrText xml:space="preserve"> HYPERLINK \l "_Toc228263008" </w:instrText>
          </w:r>
          <w:r>
            <w:fldChar w:fldCharType="separate"/>
          </w:r>
          <w:r>
            <w:rPr>
              <w:rStyle w:val="20"/>
              <w:rFonts w:hint="eastAsia" w:ascii="仿宋" w:hAnsi="仿宋" w:eastAsia="仿宋"/>
              <w:sz w:val="28"/>
              <w:szCs w:val="28"/>
            </w:rPr>
            <w:t>（三）起草过程</w:t>
          </w:r>
          <w:r>
            <w:rPr>
              <w:rFonts w:hint="eastAsia" w:ascii="仿宋" w:hAnsi="仿宋" w:eastAsia="仿宋"/>
              <w:sz w:val="28"/>
              <w:szCs w:val="28"/>
            </w:rPr>
            <w:tab/>
          </w:r>
          <w:r>
            <w:rPr>
              <w:rFonts w:hint="eastAsia" w:ascii="仿宋" w:hAnsi="仿宋" w:eastAsia="仿宋"/>
              <w:sz w:val="28"/>
              <w:szCs w:val="28"/>
            </w:rPr>
            <w:fldChar w:fldCharType="begin"/>
          </w:r>
          <w:r>
            <w:rPr>
              <w:rFonts w:hint="eastAsia" w:ascii="仿宋" w:hAnsi="仿宋" w:eastAsia="仿宋"/>
              <w:sz w:val="28"/>
              <w:szCs w:val="28"/>
            </w:rPr>
            <w:instrText xml:space="preserve"> </w:instrText>
          </w:r>
          <w:r>
            <w:rPr>
              <w:rFonts w:ascii="仿宋" w:hAnsi="仿宋" w:eastAsia="仿宋"/>
              <w:sz w:val="28"/>
              <w:szCs w:val="28"/>
            </w:rPr>
            <w:instrText xml:space="preserve">PAGEREF _Toc228263008 \h</w:instrText>
          </w:r>
          <w:r>
            <w:rPr>
              <w:rFonts w:hint="eastAsia" w:ascii="仿宋" w:hAnsi="仿宋" w:eastAsia="仿宋"/>
              <w:sz w:val="28"/>
              <w:szCs w:val="28"/>
            </w:rPr>
            <w:instrText xml:space="preserve"> </w:instrText>
          </w:r>
          <w:r>
            <w:rPr>
              <w:rFonts w:hint="eastAsia" w:ascii="仿宋" w:hAnsi="仿宋" w:eastAsia="仿宋"/>
              <w:sz w:val="28"/>
              <w:szCs w:val="28"/>
            </w:rPr>
            <w:fldChar w:fldCharType="separate"/>
          </w:r>
          <w:r>
            <w:rPr>
              <w:rFonts w:hint="eastAsia" w:ascii="仿宋" w:hAnsi="仿宋" w:eastAsia="仿宋"/>
              <w:sz w:val="28"/>
              <w:szCs w:val="28"/>
            </w:rPr>
            <w:t>4</w:t>
          </w:r>
          <w:r>
            <w:rPr>
              <w:rFonts w:hint="eastAsia" w:ascii="仿宋" w:hAnsi="仿宋" w:eastAsia="仿宋"/>
              <w:sz w:val="28"/>
              <w:szCs w:val="28"/>
            </w:rPr>
            <w:fldChar w:fldCharType="end"/>
          </w:r>
          <w:r>
            <w:rPr>
              <w:rFonts w:hint="eastAsia" w:ascii="仿宋" w:hAnsi="仿宋" w:eastAsia="仿宋"/>
              <w:sz w:val="28"/>
              <w:szCs w:val="28"/>
            </w:rPr>
            <w:fldChar w:fldCharType="end"/>
          </w:r>
        </w:p>
        <w:p w14:paraId="59FB0064">
          <w:pPr>
            <w:pStyle w:val="14"/>
            <w:tabs>
              <w:tab w:val="right" w:leader="dot" w:pos="8290"/>
            </w:tabs>
            <w:spacing w:line="120" w:lineRule="atLeast"/>
            <w:rPr>
              <w:rFonts w:hint="eastAsia" w:ascii="仿宋" w:hAnsi="仿宋" w:eastAsia="仿宋" w:cstheme="minorBidi"/>
              <w:smallCaps w:val="0"/>
              <w:sz w:val="28"/>
              <w:szCs w:val="28"/>
              <w14:ligatures w14:val="standardContextual"/>
            </w:rPr>
          </w:pPr>
          <w:r>
            <w:fldChar w:fldCharType="begin"/>
          </w:r>
          <w:r>
            <w:instrText xml:space="preserve"> HYPERLINK \l "_Toc228263009" </w:instrText>
          </w:r>
          <w:r>
            <w:fldChar w:fldCharType="separate"/>
          </w:r>
          <w:r>
            <w:rPr>
              <w:rStyle w:val="20"/>
              <w:rFonts w:hint="eastAsia" w:ascii="仿宋" w:hAnsi="仿宋" w:eastAsia="仿宋"/>
              <w:sz w:val="28"/>
              <w:szCs w:val="28"/>
            </w:rPr>
            <w:t>（四）起草分工</w:t>
          </w:r>
          <w:r>
            <w:rPr>
              <w:rFonts w:hint="eastAsia" w:ascii="仿宋" w:hAnsi="仿宋" w:eastAsia="仿宋"/>
              <w:sz w:val="28"/>
              <w:szCs w:val="28"/>
            </w:rPr>
            <w:tab/>
          </w:r>
          <w:r>
            <w:rPr>
              <w:rFonts w:hint="eastAsia" w:ascii="仿宋" w:hAnsi="仿宋" w:eastAsia="仿宋"/>
              <w:sz w:val="28"/>
              <w:szCs w:val="28"/>
            </w:rPr>
            <w:fldChar w:fldCharType="begin"/>
          </w:r>
          <w:r>
            <w:rPr>
              <w:rFonts w:hint="eastAsia" w:ascii="仿宋" w:hAnsi="仿宋" w:eastAsia="仿宋"/>
              <w:sz w:val="28"/>
              <w:szCs w:val="28"/>
            </w:rPr>
            <w:instrText xml:space="preserve"> </w:instrText>
          </w:r>
          <w:r>
            <w:rPr>
              <w:rFonts w:ascii="仿宋" w:hAnsi="仿宋" w:eastAsia="仿宋"/>
              <w:sz w:val="28"/>
              <w:szCs w:val="28"/>
            </w:rPr>
            <w:instrText xml:space="preserve">PAGEREF _Toc228263009 \h</w:instrText>
          </w:r>
          <w:r>
            <w:rPr>
              <w:rFonts w:hint="eastAsia" w:ascii="仿宋" w:hAnsi="仿宋" w:eastAsia="仿宋"/>
              <w:sz w:val="28"/>
              <w:szCs w:val="28"/>
            </w:rPr>
            <w:instrText xml:space="preserve"> </w:instrText>
          </w:r>
          <w:r>
            <w:rPr>
              <w:rFonts w:hint="eastAsia" w:ascii="仿宋" w:hAnsi="仿宋" w:eastAsia="仿宋"/>
              <w:sz w:val="28"/>
              <w:szCs w:val="28"/>
            </w:rPr>
            <w:fldChar w:fldCharType="separate"/>
          </w:r>
          <w:r>
            <w:rPr>
              <w:rFonts w:hint="eastAsia" w:ascii="仿宋" w:hAnsi="仿宋" w:eastAsia="仿宋"/>
              <w:sz w:val="28"/>
              <w:szCs w:val="28"/>
            </w:rPr>
            <w:t>11</w:t>
          </w:r>
          <w:r>
            <w:rPr>
              <w:rFonts w:hint="eastAsia" w:ascii="仿宋" w:hAnsi="仿宋" w:eastAsia="仿宋"/>
              <w:sz w:val="28"/>
              <w:szCs w:val="28"/>
            </w:rPr>
            <w:fldChar w:fldCharType="end"/>
          </w:r>
          <w:r>
            <w:rPr>
              <w:rFonts w:hint="eastAsia" w:ascii="仿宋" w:hAnsi="仿宋" w:eastAsia="仿宋"/>
              <w:sz w:val="28"/>
              <w:szCs w:val="28"/>
            </w:rPr>
            <w:fldChar w:fldCharType="end"/>
          </w:r>
        </w:p>
        <w:p w14:paraId="0D4AE921">
          <w:pPr>
            <w:pStyle w:val="13"/>
            <w:rPr>
              <w:rStyle w:val="20"/>
              <w:rFonts w:hint="eastAsia" w:ascii="黑体" w:hAnsi="黑体" w:eastAsia="黑体"/>
              <w:sz w:val="28"/>
            </w:rPr>
          </w:pPr>
          <w:r>
            <w:fldChar w:fldCharType="begin"/>
          </w:r>
          <w:r>
            <w:instrText xml:space="preserve"> HYPERLINK \l "_Toc228263010" </w:instrText>
          </w:r>
          <w:r>
            <w:fldChar w:fldCharType="separate"/>
          </w:r>
          <w:r>
            <w:rPr>
              <w:rStyle w:val="20"/>
              <w:rFonts w:hint="eastAsia" w:ascii="黑体" w:hAnsi="黑体" w:eastAsia="黑体"/>
              <w:sz w:val="28"/>
            </w:rPr>
            <w:t>二、标准编制原则、主要内容及其确定依据</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_Toc228263010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12</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0DDE4094">
          <w:pPr>
            <w:pStyle w:val="14"/>
            <w:tabs>
              <w:tab w:val="right" w:leader="dot" w:pos="8290"/>
            </w:tabs>
            <w:rPr>
              <w:rStyle w:val="20"/>
              <w:rFonts w:hint="eastAsia" w:ascii="仿宋" w:hAnsi="仿宋" w:eastAsia="仿宋"/>
              <w:sz w:val="28"/>
              <w:szCs w:val="28"/>
            </w:rPr>
          </w:pPr>
          <w:r>
            <w:fldChar w:fldCharType="begin"/>
          </w:r>
          <w:r>
            <w:instrText xml:space="preserve"> HYPERLINK \l "_Toc228263011" </w:instrText>
          </w:r>
          <w:r>
            <w:fldChar w:fldCharType="separate"/>
          </w:r>
          <w:r>
            <w:rPr>
              <w:rStyle w:val="20"/>
              <w:rFonts w:hint="eastAsia" w:ascii="仿宋" w:hAnsi="仿宋" w:eastAsia="仿宋"/>
              <w:sz w:val="28"/>
              <w:szCs w:val="28"/>
            </w:rPr>
            <w:t>（一）编制原则</w:t>
          </w:r>
          <w:r>
            <w:rPr>
              <w:rStyle w:val="20"/>
              <w:rFonts w:hint="eastAsia" w:ascii="仿宋" w:hAnsi="仿宋" w:eastAsia="仿宋"/>
              <w:sz w:val="28"/>
              <w:szCs w:val="28"/>
            </w:rPr>
            <w:tab/>
          </w:r>
          <w:r>
            <w:rPr>
              <w:rStyle w:val="20"/>
              <w:rFonts w:hint="eastAsia" w:ascii="仿宋" w:hAnsi="仿宋" w:eastAsia="仿宋"/>
              <w:sz w:val="28"/>
              <w:szCs w:val="28"/>
            </w:rPr>
            <w:fldChar w:fldCharType="begin"/>
          </w:r>
          <w:r>
            <w:rPr>
              <w:rStyle w:val="20"/>
              <w:rFonts w:hint="eastAsia" w:ascii="仿宋" w:hAnsi="仿宋" w:eastAsia="仿宋"/>
              <w:sz w:val="28"/>
              <w:szCs w:val="28"/>
            </w:rPr>
            <w:instrText xml:space="preserve"> </w:instrText>
          </w:r>
          <w:r>
            <w:rPr>
              <w:rStyle w:val="20"/>
              <w:rFonts w:ascii="仿宋" w:hAnsi="仿宋" w:eastAsia="仿宋"/>
              <w:sz w:val="28"/>
              <w:szCs w:val="28"/>
            </w:rPr>
            <w:instrText xml:space="preserve">PAGEREF _Toc228263011 \h</w:instrText>
          </w:r>
          <w:r>
            <w:rPr>
              <w:rStyle w:val="20"/>
              <w:rFonts w:hint="eastAsia" w:ascii="仿宋" w:hAnsi="仿宋" w:eastAsia="仿宋"/>
              <w:sz w:val="28"/>
              <w:szCs w:val="28"/>
            </w:rPr>
            <w:instrText xml:space="preserve"> </w:instrText>
          </w:r>
          <w:r>
            <w:rPr>
              <w:rStyle w:val="20"/>
              <w:rFonts w:hint="eastAsia" w:ascii="仿宋" w:hAnsi="仿宋" w:eastAsia="仿宋"/>
              <w:sz w:val="28"/>
              <w:szCs w:val="28"/>
            </w:rPr>
            <w:fldChar w:fldCharType="separate"/>
          </w:r>
          <w:r>
            <w:rPr>
              <w:rStyle w:val="20"/>
              <w:rFonts w:hint="eastAsia" w:ascii="仿宋" w:hAnsi="仿宋" w:eastAsia="仿宋"/>
              <w:sz w:val="28"/>
              <w:szCs w:val="28"/>
            </w:rPr>
            <w:t>12</w:t>
          </w:r>
          <w:r>
            <w:rPr>
              <w:rStyle w:val="20"/>
              <w:rFonts w:hint="eastAsia" w:ascii="仿宋" w:hAnsi="仿宋" w:eastAsia="仿宋"/>
              <w:sz w:val="28"/>
              <w:szCs w:val="28"/>
            </w:rPr>
            <w:fldChar w:fldCharType="end"/>
          </w:r>
          <w:r>
            <w:rPr>
              <w:rStyle w:val="20"/>
              <w:rFonts w:hint="eastAsia" w:ascii="仿宋" w:hAnsi="仿宋" w:eastAsia="仿宋"/>
              <w:sz w:val="28"/>
              <w:szCs w:val="28"/>
            </w:rPr>
            <w:fldChar w:fldCharType="end"/>
          </w:r>
        </w:p>
        <w:p w14:paraId="226019FA">
          <w:pPr>
            <w:pStyle w:val="14"/>
            <w:tabs>
              <w:tab w:val="right" w:leader="dot" w:pos="8290"/>
            </w:tabs>
            <w:rPr>
              <w:rStyle w:val="20"/>
              <w:rFonts w:hint="eastAsia" w:ascii="仿宋" w:hAnsi="仿宋" w:eastAsia="仿宋"/>
              <w:sz w:val="28"/>
              <w:szCs w:val="28"/>
            </w:rPr>
          </w:pPr>
          <w:r>
            <w:fldChar w:fldCharType="begin"/>
          </w:r>
          <w:r>
            <w:instrText xml:space="preserve"> HYPERLINK \l "_Toc228263012" </w:instrText>
          </w:r>
          <w:r>
            <w:fldChar w:fldCharType="separate"/>
          </w:r>
          <w:r>
            <w:rPr>
              <w:rStyle w:val="20"/>
              <w:rFonts w:hint="eastAsia" w:ascii="仿宋" w:hAnsi="仿宋" w:eastAsia="仿宋"/>
              <w:sz w:val="28"/>
              <w:szCs w:val="28"/>
            </w:rPr>
            <w:t>（二）标准主要内容</w:t>
          </w:r>
          <w:r>
            <w:rPr>
              <w:rStyle w:val="20"/>
              <w:rFonts w:hint="eastAsia" w:ascii="仿宋" w:hAnsi="仿宋" w:eastAsia="仿宋"/>
              <w:sz w:val="28"/>
              <w:szCs w:val="28"/>
            </w:rPr>
            <w:tab/>
          </w:r>
          <w:r>
            <w:rPr>
              <w:rStyle w:val="20"/>
              <w:rFonts w:hint="eastAsia" w:ascii="仿宋" w:hAnsi="仿宋" w:eastAsia="仿宋"/>
              <w:sz w:val="28"/>
              <w:szCs w:val="28"/>
            </w:rPr>
            <w:fldChar w:fldCharType="begin"/>
          </w:r>
          <w:r>
            <w:rPr>
              <w:rStyle w:val="20"/>
              <w:rFonts w:hint="eastAsia" w:ascii="仿宋" w:hAnsi="仿宋" w:eastAsia="仿宋"/>
              <w:sz w:val="28"/>
              <w:szCs w:val="28"/>
            </w:rPr>
            <w:instrText xml:space="preserve"> </w:instrText>
          </w:r>
          <w:r>
            <w:rPr>
              <w:rStyle w:val="20"/>
              <w:rFonts w:ascii="仿宋" w:hAnsi="仿宋" w:eastAsia="仿宋"/>
              <w:sz w:val="28"/>
              <w:szCs w:val="28"/>
            </w:rPr>
            <w:instrText xml:space="preserve">PAGEREF _Toc228263012 \h</w:instrText>
          </w:r>
          <w:r>
            <w:rPr>
              <w:rStyle w:val="20"/>
              <w:rFonts w:hint="eastAsia" w:ascii="仿宋" w:hAnsi="仿宋" w:eastAsia="仿宋"/>
              <w:sz w:val="28"/>
              <w:szCs w:val="28"/>
            </w:rPr>
            <w:instrText xml:space="preserve"> </w:instrText>
          </w:r>
          <w:r>
            <w:rPr>
              <w:rStyle w:val="20"/>
              <w:rFonts w:hint="eastAsia" w:ascii="仿宋" w:hAnsi="仿宋" w:eastAsia="仿宋"/>
              <w:sz w:val="28"/>
              <w:szCs w:val="28"/>
            </w:rPr>
            <w:fldChar w:fldCharType="separate"/>
          </w:r>
          <w:r>
            <w:rPr>
              <w:rStyle w:val="20"/>
              <w:rFonts w:hint="eastAsia" w:ascii="仿宋" w:hAnsi="仿宋" w:eastAsia="仿宋"/>
              <w:sz w:val="28"/>
              <w:szCs w:val="28"/>
            </w:rPr>
            <w:t>12</w:t>
          </w:r>
          <w:r>
            <w:rPr>
              <w:rStyle w:val="20"/>
              <w:rFonts w:hint="eastAsia" w:ascii="仿宋" w:hAnsi="仿宋" w:eastAsia="仿宋"/>
              <w:sz w:val="28"/>
              <w:szCs w:val="28"/>
            </w:rPr>
            <w:fldChar w:fldCharType="end"/>
          </w:r>
          <w:r>
            <w:rPr>
              <w:rStyle w:val="20"/>
              <w:rFonts w:hint="eastAsia" w:ascii="仿宋" w:hAnsi="仿宋" w:eastAsia="仿宋"/>
              <w:sz w:val="28"/>
              <w:szCs w:val="28"/>
            </w:rPr>
            <w:fldChar w:fldCharType="end"/>
          </w:r>
        </w:p>
        <w:p w14:paraId="5BD145BD">
          <w:pPr>
            <w:pStyle w:val="14"/>
            <w:tabs>
              <w:tab w:val="right" w:leader="dot" w:pos="8290"/>
            </w:tabs>
            <w:rPr>
              <w:rStyle w:val="20"/>
              <w:rFonts w:hint="eastAsia" w:ascii="仿宋" w:hAnsi="仿宋" w:eastAsia="仿宋"/>
              <w:sz w:val="28"/>
              <w:szCs w:val="28"/>
            </w:rPr>
          </w:pPr>
          <w:r>
            <w:fldChar w:fldCharType="begin"/>
          </w:r>
          <w:r>
            <w:instrText xml:space="preserve"> HYPERLINK \l "_Toc228263013" </w:instrText>
          </w:r>
          <w:r>
            <w:fldChar w:fldCharType="separate"/>
          </w:r>
          <w:r>
            <w:rPr>
              <w:rStyle w:val="20"/>
              <w:rFonts w:hint="eastAsia" w:ascii="仿宋" w:hAnsi="仿宋" w:eastAsia="仿宋"/>
              <w:sz w:val="28"/>
              <w:szCs w:val="28"/>
            </w:rPr>
            <w:t>（三）标准研制规范文件依据</w:t>
          </w:r>
          <w:r>
            <w:rPr>
              <w:rStyle w:val="20"/>
              <w:rFonts w:hint="eastAsia" w:ascii="仿宋" w:hAnsi="仿宋" w:eastAsia="仿宋"/>
              <w:sz w:val="28"/>
              <w:szCs w:val="28"/>
            </w:rPr>
            <w:tab/>
          </w:r>
          <w:r>
            <w:rPr>
              <w:rStyle w:val="20"/>
              <w:rFonts w:hint="eastAsia" w:ascii="仿宋" w:hAnsi="仿宋" w:eastAsia="仿宋"/>
              <w:sz w:val="28"/>
              <w:szCs w:val="28"/>
            </w:rPr>
            <w:fldChar w:fldCharType="begin"/>
          </w:r>
          <w:r>
            <w:rPr>
              <w:rStyle w:val="20"/>
              <w:rFonts w:hint="eastAsia" w:ascii="仿宋" w:hAnsi="仿宋" w:eastAsia="仿宋"/>
              <w:sz w:val="28"/>
              <w:szCs w:val="28"/>
            </w:rPr>
            <w:instrText xml:space="preserve"> </w:instrText>
          </w:r>
          <w:r>
            <w:rPr>
              <w:rStyle w:val="20"/>
              <w:rFonts w:ascii="仿宋" w:hAnsi="仿宋" w:eastAsia="仿宋"/>
              <w:sz w:val="28"/>
              <w:szCs w:val="28"/>
            </w:rPr>
            <w:instrText xml:space="preserve">PAGEREF _Toc228263013 \h</w:instrText>
          </w:r>
          <w:r>
            <w:rPr>
              <w:rStyle w:val="20"/>
              <w:rFonts w:hint="eastAsia" w:ascii="仿宋" w:hAnsi="仿宋" w:eastAsia="仿宋"/>
              <w:sz w:val="28"/>
              <w:szCs w:val="28"/>
            </w:rPr>
            <w:instrText xml:space="preserve"> </w:instrText>
          </w:r>
          <w:r>
            <w:rPr>
              <w:rStyle w:val="20"/>
              <w:rFonts w:hint="eastAsia" w:ascii="仿宋" w:hAnsi="仿宋" w:eastAsia="仿宋"/>
              <w:sz w:val="28"/>
              <w:szCs w:val="28"/>
            </w:rPr>
            <w:fldChar w:fldCharType="separate"/>
          </w:r>
          <w:r>
            <w:rPr>
              <w:rStyle w:val="20"/>
              <w:rFonts w:hint="eastAsia" w:ascii="仿宋" w:hAnsi="仿宋" w:eastAsia="仿宋"/>
              <w:sz w:val="28"/>
              <w:szCs w:val="28"/>
            </w:rPr>
            <w:t>16</w:t>
          </w:r>
          <w:r>
            <w:rPr>
              <w:rStyle w:val="20"/>
              <w:rFonts w:hint="eastAsia" w:ascii="仿宋" w:hAnsi="仿宋" w:eastAsia="仿宋"/>
              <w:sz w:val="28"/>
              <w:szCs w:val="28"/>
            </w:rPr>
            <w:fldChar w:fldCharType="end"/>
          </w:r>
          <w:r>
            <w:rPr>
              <w:rStyle w:val="20"/>
              <w:rFonts w:hint="eastAsia" w:ascii="仿宋" w:hAnsi="仿宋" w:eastAsia="仿宋"/>
              <w:sz w:val="28"/>
              <w:szCs w:val="28"/>
            </w:rPr>
            <w:fldChar w:fldCharType="end"/>
          </w:r>
        </w:p>
        <w:p w14:paraId="066D4D2A">
          <w:pPr>
            <w:pStyle w:val="13"/>
            <w:jc w:val="both"/>
            <w:rPr>
              <w:rStyle w:val="20"/>
              <w:rFonts w:hint="eastAsia" w:ascii="黑体" w:hAnsi="黑体" w:eastAsia="黑体"/>
              <w:sz w:val="28"/>
            </w:rPr>
          </w:pPr>
          <w:r>
            <w:fldChar w:fldCharType="begin"/>
          </w:r>
          <w:r>
            <w:instrText xml:space="preserve"> HYPERLINK \l "_Toc228263014" </w:instrText>
          </w:r>
          <w:r>
            <w:fldChar w:fldCharType="separate"/>
          </w:r>
          <w:r>
            <w:rPr>
              <w:rStyle w:val="20"/>
              <w:rFonts w:hint="eastAsia" w:ascii="黑体" w:hAnsi="黑体" w:eastAsia="黑体"/>
              <w:sz w:val="28"/>
            </w:rPr>
            <w:t>三、试验验证的分析、综述报告，技术经济论证，预期的经济效</w:t>
          </w:r>
          <w:r>
            <w:rPr>
              <w:rStyle w:val="20"/>
              <w:rFonts w:hint="eastAsia"/>
              <w:sz w:val="28"/>
              <w:lang w:val="en-US" w:eastAsia="zh-CN"/>
            </w:rPr>
            <w:t xml:space="preserve"> </w:t>
          </w:r>
          <w:r>
            <w:rPr>
              <w:rStyle w:val="20"/>
              <w:rFonts w:hint="eastAsia" w:ascii="黑体" w:hAnsi="黑体" w:eastAsia="黑体"/>
              <w:sz w:val="28"/>
            </w:rPr>
            <w:t>益、社会效益和生态效益</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_Toc228263014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17</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2A35EE25">
          <w:pPr>
            <w:pStyle w:val="13"/>
            <w:jc w:val="both"/>
            <w:rPr>
              <w:rStyle w:val="20"/>
              <w:rFonts w:hint="eastAsia" w:ascii="黑体" w:hAnsi="黑体" w:eastAsia="黑体"/>
              <w:sz w:val="28"/>
            </w:rPr>
          </w:pPr>
          <w:r>
            <w:fldChar w:fldCharType="begin"/>
          </w:r>
          <w:r>
            <w:instrText xml:space="preserve"> HYPERLINK \l "_Toc228263015" </w:instrText>
          </w:r>
          <w:r>
            <w:fldChar w:fldCharType="separate"/>
          </w:r>
          <w:r>
            <w:rPr>
              <w:rStyle w:val="20"/>
              <w:rFonts w:hint="eastAsia" w:ascii="黑体" w:hAnsi="黑体" w:eastAsia="黑体"/>
              <w:sz w:val="28"/>
            </w:rPr>
            <w:t>四、与国际、国外同类标准技术内容的对比情况，或者与测试的国外样品、样机的有关数据对比情况</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_Toc228263015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18</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71FDC985">
          <w:pPr>
            <w:pStyle w:val="13"/>
            <w:jc w:val="both"/>
            <w:rPr>
              <w:rStyle w:val="20"/>
              <w:rFonts w:hint="eastAsia" w:ascii="黑体" w:hAnsi="黑体" w:eastAsia="黑体"/>
              <w:sz w:val="28"/>
            </w:rPr>
          </w:pPr>
          <w:r>
            <w:fldChar w:fldCharType="begin"/>
          </w:r>
          <w:r>
            <w:instrText xml:space="preserve"> HYPERLINK \l "_Toc228263016" </w:instrText>
          </w:r>
          <w:r>
            <w:fldChar w:fldCharType="separate"/>
          </w:r>
          <w:r>
            <w:rPr>
              <w:rStyle w:val="20"/>
              <w:rFonts w:hint="eastAsia" w:ascii="黑体" w:hAnsi="黑体" w:eastAsia="黑体"/>
              <w:sz w:val="28"/>
            </w:rPr>
            <w:t>五、以国际标准为基础的起草情况，以及是否合规引用或者采用国际国外标准，并说明未采用国际标准的原因</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_Toc228263016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18</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3028E97B">
          <w:pPr>
            <w:pStyle w:val="13"/>
            <w:rPr>
              <w:rStyle w:val="20"/>
              <w:rFonts w:hint="eastAsia" w:ascii="黑体" w:hAnsi="黑体" w:eastAsia="黑体"/>
              <w:sz w:val="28"/>
            </w:rPr>
          </w:pPr>
          <w:r>
            <w:fldChar w:fldCharType="begin"/>
          </w:r>
          <w:r>
            <w:instrText xml:space="preserve"> HYPERLINK \l "_Toc228263017" </w:instrText>
          </w:r>
          <w:r>
            <w:fldChar w:fldCharType="separate"/>
          </w:r>
          <w:r>
            <w:rPr>
              <w:rStyle w:val="20"/>
              <w:rFonts w:hint="eastAsia" w:ascii="黑体" w:hAnsi="黑体" w:eastAsia="黑体"/>
              <w:sz w:val="28"/>
            </w:rPr>
            <w:t>六、与有关法律、行政法规及相关标准的关系</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_Toc228263017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18</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2C91D865">
          <w:pPr>
            <w:pStyle w:val="13"/>
            <w:rPr>
              <w:rStyle w:val="20"/>
              <w:rFonts w:hint="eastAsia" w:ascii="黑体" w:hAnsi="黑体" w:eastAsia="黑体"/>
              <w:sz w:val="28"/>
            </w:rPr>
          </w:pPr>
          <w:r>
            <w:fldChar w:fldCharType="begin"/>
          </w:r>
          <w:r>
            <w:instrText xml:space="preserve"> HYPERLINK \l "_Toc228263018" </w:instrText>
          </w:r>
          <w:r>
            <w:fldChar w:fldCharType="separate"/>
          </w:r>
          <w:r>
            <w:rPr>
              <w:rStyle w:val="20"/>
              <w:rFonts w:hint="eastAsia" w:ascii="黑体" w:hAnsi="黑体" w:eastAsia="黑体"/>
              <w:sz w:val="28"/>
            </w:rPr>
            <w:t>七、重大分歧意见的处理经过和依据</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_Toc228263018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19</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722763D2">
          <w:pPr>
            <w:pStyle w:val="13"/>
            <w:rPr>
              <w:rStyle w:val="20"/>
              <w:rFonts w:hint="eastAsia" w:ascii="黑体" w:hAnsi="黑体" w:eastAsia="黑体"/>
              <w:sz w:val="28"/>
            </w:rPr>
          </w:pPr>
          <w:r>
            <w:fldChar w:fldCharType="begin"/>
          </w:r>
          <w:r>
            <w:instrText xml:space="preserve"> HYPERLINK \l "_Toc228263019" </w:instrText>
          </w:r>
          <w:r>
            <w:fldChar w:fldCharType="separate"/>
          </w:r>
          <w:r>
            <w:rPr>
              <w:rStyle w:val="20"/>
              <w:rFonts w:hint="eastAsia" w:ascii="黑体" w:hAnsi="黑体" w:eastAsia="黑体"/>
              <w:sz w:val="28"/>
            </w:rPr>
            <w:t>八、涉及专利的有关说明</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_Toc228263019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19</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6C2D53EA">
          <w:pPr>
            <w:pStyle w:val="13"/>
            <w:rPr>
              <w:rStyle w:val="20"/>
              <w:rFonts w:hint="eastAsia" w:ascii="黑体" w:hAnsi="黑体" w:eastAsia="黑体"/>
              <w:sz w:val="28"/>
            </w:rPr>
          </w:pPr>
          <w:r>
            <w:fldChar w:fldCharType="begin"/>
          </w:r>
          <w:r>
            <w:instrText xml:space="preserve"> HYPERLINK \l "_Toc228263020" </w:instrText>
          </w:r>
          <w:r>
            <w:fldChar w:fldCharType="separate"/>
          </w:r>
          <w:r>
            <w:rPr>
              <w:rStyle w:val="20"/>
              <w:rFonts w:hint="eastAsia" w:ascii="黑体" w:hAnsi="黑体" w:eastAsia="黑体"/>
              <w:sz w:val="28"/>
            </w:rPr>
            <w:t>九、实施国家标准的要求，以及组织措施、技术措施、过渡期和实施日期的建议等措施建议</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_Toc228263020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19</w:t>
          </w:r>
          <w:r>
            <w:rPr>
              <w:rStyle w:val="20"/>
              <w:rFonts w:hint="eastAsia" w:ascii="黑体" w:hAnsi="黑体" w:eastAsia="黑体"/>
              <w:sz w:val="28"/>
            </w:rPr>
            <w:fldChar w:fldCharType="end"/>
          </w:r>
          <w:r>
            <w:rPr>
              <w:rStyle w:val="20"/>
              <w:rFonts w:hint="eastAsia" w:ascii="黑体" w:hAnsi="黑体" w:eastAsia="黑体"/>
              <w:sz w:val="28"/>
            </w:rPr>
            <w:fldChar w:fldCharType="end"/>
          </w:r>
        </w:p>
        <w:p w14:paraId="57598C41">
          <w:pPr>
            <w:pStyle w:val="14"/>
            <w:tabs>
              <w:tab w:val="right" w:leader="dot" w:pos="8290"/>
            </w:tabs>
            <w:ind w:left="0" w:leftChars="0" w:firstLine="0" w:firstLineChars="0"/>
          </w:pPr>
          <w:r>
            <w:fldChar w:fldCharType="begin"/>
          </w:r>
          <w:r>
            <w:instrText xml:space="preserve"> HYPERLINK \l "_Toc228263021" </w:instrText>
          </w:r>
          <w:r>
            <w:fldChar w:fldCharType="separate"/>
          </w:r>
          <w:r>
            <w:rPr>
              <w:rStyle w:val="20"/>
              <w:rFonts w:hint="eastAsia" w:ascii="黑体" w:hAnsi="黑体" w:eastAsia="黑体"/>
              <w:b/>
              <w:bCs w:val="0"/>
              <w:sz w:val="28"/>
              <w:szCs w:val="28"/>
            </w:rPr>
            <w:t>十、其它应当说明的事项</w:t>
          </w:r>
          <w:r>
            <w:rPr>
              <w:rStyle w:val="20"/>
              <w:rFonts w:hint="eastAsia" w:ascii="黑体" w:hAnsi="黑体" w:eastAsia="黑体"/>
              <w:sz w:val="28"/>
            </w:rPr>
            <w:tab/>
          </w:r>
          <w:r>
            <w:rPr>
              <w:rStyle w:val="20"/>
              <w:rFonts w:hint="eastAsia" w:ascii="黑体" w:hAnsi="黑体" w:eastAsia="黑体"/>
              <w:sz w:val="28"/>
            </w:rPr>
            <w:fldChar w:fldCharType="begin"/>
          </w:r>
          <w:r>
            <w:rPr>
              <w:rStyle w:val="20"/>
              <w:rFonts w:hint="eastAsia" w:ascii="黑体" w:hAnsi="黑体" w:eastAsia="黑体"/>
              <w:sz w:val="28"/>
            </w:rPr>
            <w:instrText xml:space="preserve"> </w:instrText>
          </w:r>
          <w:r>
            <w:rPr>
              <w:rStyle w:val="20"/>
              <w:rFonts w:ascii="黑体" w:hAnsi="黑体" w:eastAsia="黑体"/>
              <w:sz w:val="28"/>
            </w:rPr>
            <w:instrText xml:space="preserve">PAGEREF _Toc228263021 \h</w:instrText>
          </w:r>
          <w:r>
            <w:rPr>
              <w:rStyle w:val="20"/>
              <w:rFonts w:hint="eastAsia" w:ascii="黑体" w:hAnsi="黑体" w:eastAsia="黑体"/>
              <w:sz w:val="28"/>
            </w:rPr>
            <w:instrText xml:space="preserve"> </w:instrText>
          </w:r>
          <w:r>
            <w:rPr>
              <w:rStyle w:val="20"/>
              <w:rFonts w:hint="eastAsia" w:ascii="黑体" w:hAnsi="黑体" w:eastAsia="黑体"/>
              <w:sz w:val="28"/>
            </w:rPr>
            <w:fldChar w:fldCharType="separate"/>
          </w:r>
          <w:r>
            <w:rPr>
              <w:rStyle w:val="20"/>
              <w:rFonts w:hint="eastAsia" w:ascii="黑体" w:hAnsi="黑体" w:eastAsia="黑体"/>
              <w:sz w:val="28"/>
            </w:rPr>
            <w:t>19</w:t>
          </w:r>
          <w:r>
            <w:rPr>
              <w:rStyle w:val="20"/>
              <w:rFonts w:hint="eastAsia" w:ascii="黑体" w:hAnsi="黑体" w:eastAsia="黑体"/>
              <w:sz w:val="28"/>
            </w:rPr>
            <w:fldChar w:fldCharType="end"/>
          </w:r>
          <w:r>
            <w:rPr>
              <w:rStyle w:val="20"/>
              <w:rFonts w:hint="eastAsia" w:ascii="黑体" w:hAnsi="黑体" w:eastAsia="黑体"/>
              <w:sz w:val="28"/>
            </w:rPr>
            <w:fldChar w:fldCharType="end"/>
          </w:r>
          <w:r>
            <w:rPr>
              <w:b/>
              <w:bCs/>
            </w:rPr>
            <w:fldChar w:fldCharType="end"/>
          </w:r>
        </w:p>
      </w:sdtContent>
    </w:sdt>
    <w:p w14:paraId="204ED3C6">
      <w:pPr>
        <w:widowControl/>
        <w:jc w:val="left"/>
        <w:sectPr>
          <w:pgSz w:w="11906" w:h="16838"/>
          <w:pgMar w:top="1440" w:right="1803" w:bottom="1440" w:left="1803" w:header="851" w:footer="992" w:gutter="0"/>
          <w:pgNumType w:fmt="numberInDash" w:start="1"/>
          <w:cols w:space="425" w:num="1"/>
          <w:docGrid w:type="lines" w:linePitch="312" w:charSpace="0"/>
        </w:sectPr>
      </w:pPr>
    </w:p>
    <w:p w14:paraId="51E7EADD">
      <w:pPr>
        <w:pStyle w:val="45"/>
        <w:spacing w:line="590" w:lineRule="exact"/>
        <w:ind w:firstLine="0" w:firstLineChars="0"/>
        <w:outlineLvl w:val="0"/>
        <w:rPr>
          <w:rFonts w:ascii="仿宋_GB2312" w:eastAsia="仿宋_GB2312"/>
          <w:bCs/>
          <w:sz w:val="36"/>
          <w:szCs w:val="36"/>
        </w:rPr>
      </w:pPr>
      <w:bookmarkStart w:id="1" w:name="_Toc228263005"/>
      <w:bookmarkStart w:id="2" w:name="_Toc228262002"/>
      <w:bookmarkStart w:id="3" w:name="_Toc228262947"/>
      <w:r>
        <w:rPr>
          <w:rFonts w:hint="eastAsia" w:ascii="仿宋_GB2312" w:eastAsia="仿宋_GB2312"/>
          <w:bCs/>
          <w:sz w:val="36"/>
          <w:szCs w:val="36"/>
        </w:rPr>
        <w:t>一、工作简况</w:t>
      </w:r>
      <w:bookmarkEnd w:id="1"/>
      <w:bookmarkEnd w:id="2"/>
      <w:bookmarkEnd w:id="3"/>
    </w:p>
    <w:p w14:paraId="4929EFB5">
      <w:pPr>
        <w:pStyle w:val="45"/>
        <w:spacing w:line="590" w:lineRule="exact"/>
        <w:ind w:firstLine="640"/>
        <w:outlineLvl w:val="1"/>
        <w:rPr>
          <w:rFonts w:ascii="仿宋_GB2312" w:eastAsia="仿宋_GB2312"/>
          <w:sz w:val="32"/>
          <w:szCs w:val="32"/>
          <w:highlight w:val="yellow"/>
        </w:rPr>
      </w:pPr>
      <w:bookmarkStart w:id="4" w:name="_Toc228262948"/>
      <w:bookmarkStart w:id="5" w:name="_Toc228262003"/>
      <w:bookmarkStart w:id="6" w:name="_Toc228263006"/>
      <w:r>
        <w:rPr>
          <w:rFonts w:hint="eastAsia" w:ascii="仿宋_GB2312" w:eastAsia="仿宋_GB2312"/>
          <w:sz w:val="32"/>
          <w:szCs w:val="32"/>
        </w:rPr>
        <w:t>（一）任务来源</w:t>
      </w:r>
      <w:bookmarkEnd w:id="4"/>
      <w:bookmarkEnd w:id="5"/>
      <w:bookmarkEnd w:id="6"/>
    </w:p>
    <w:p w14:paraId="79CFCF63">
      <w:pPr>
        <w:widowControl/>
        <w:spacing w:line="560" w:lineRule="exact"/>
        <w:ind w:firstLine="640" w:firstLineChars="200"/>
        <w:textAlignment w:val="baseline"/>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kern w:val="0"/>
          <w:sz w:val="32"/>
          <w:szCs w:val="32"/>
        </w:rPr>
        <w:t>《政务服务平台政务服务地图建设技术规范》国家标准项目由国家标准化管理委员会</w:t>
      </w:r>
      <w:r>
        <w:rPr>
          <w:rFonts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rPr>
        <w:t>5年4月30日下达，计划号为20251200-T-434，归口单位为全国行政管理和服务标准化技术委员会行政管理分委会（SAC/TC594/SC1）</w:t>
      </w:r>
      <w:r>
        <w:rPr>
          <w:rFonts w:hint="eastAsia" w:ascii="仿宋_GB2312" w:hAnsi="仿宋_GB2312" w:eastAsia="仿宋_GB2312" w:cs="仿宋_GB2312"/>
          <w:color w:val="000000" w:themeColor="text1"/>
          <w:kern w:val="0"/>
          <w:sz w:val="32"/>
          <w:szCs w:val="32"/>
          <w14:textFill>
            <w14:solidFill>
              <w14:schemeClr w14:val="tx1"/>
            </w14:solidFill>
          </w14:textFill>
        </w:rPr>
        <w:t>。</w:t>
      </w:r>
      <w:bookmarkStart w:id="7" w:name="OLE_LINK7"/>
      <w:r>
        <w:rPr>
          <w:rFonts w:hint="eastAsia" w:ascii="仿宋_GB2312" w:hAnsi="仿宋_GB2312" w:eastAsia="仿宋_GB2312" w:cs="仿宋_GB2312"/>
          <w:color w:val="000000" w:themeColor="text1"/>
          <w:kern w:val="0"/>
          <w:sz w:val="32"/>
          <w:szCs w:val="32"/>
          <w14:textFill>
            <w14:solidFill>
              <w14:schemeClr w14:val="tx1"/>
            </w14:solidFill>
          </w14:textFill>
        </w:rPr>
        <w:t>项目实施周期为18个月，起止时间为2025年5月-2026年10月，应报批日期为2026年10月。具体由</w:t>
      </w:r>
      <w:r>
        <w:rPr>
          <w:rFonts w:hint="eastAsia" w:ascii="仿宋_GB2312" w:hAnsi="仿宋_GB2312" w:eastAsia="仿宋_GB2312" w:cs="仿宋_GB2312"/>
          <w:kern w:val="0"/>
          <w:sz w:val="32"/>
          <w:szCs w:val="32"/>
        </w:rPr>
        <w:t>中国测绘科学研究院、中国标准化研究院、厦门市标准化研究院、山东省济南市行政审批服务局等单位联合起草。</w:t>
      </w:r>
    </w:p>
    <w:bookmarkEnd w:id="7"/>
    <w:p w14:paraId="581ABBC5">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项目属于国家标准制定计划中的政务服务平台系列标准之一，聚焦于国家、部门和地方等政务服务平台的政务服务地图建设与应用的共性技术要求，通过统筹时空信息资源和智能化技术提升“高效办成一件事”支撑能力。</w:t>
      </w:r>
    </w:p>
    <w:p w14:paraId="23181133">
      <w:pPr>
        <w:pStyle w:val="45"/>
        <w:spacing w:line="590" w:lineRule="exact"/>
        <w:ind w:firstLine="640"/>
        <w:outlineLvl w:val="1"/>
        <w:rPr>
          <w:rFonts w:ascii="仿宋_GB2312" w:eastAsia="仿宋_GB2312"/>
          <w:sz w:val="32"/>
          <w:szCs w:val="32"/>
          <w:highlight w:val="yellow"/>
        </w:rPr>
      </w:pPr>
      <w:bookmarkStart w:id="8" w:name="_Toc228262949"/>
      <w:bookmarkStart w:id="9" w:name="_Toc228262004"/>
      <w:bookmarkStart w:id="10" w:name="_Toc228263007"/>
      <w:r>
        <w:rPr>
          <w:rFonts w:hint="eastAsia" w:ascii="仿宋_GB2312" w:eastAsia="仿宋_GB2312"/>
          <w:sz w:val="32"/>
          <w:szCs w:val="32"/>
        </w:rPr>
        <w:t>（二）项目背景</w:t>
      </w:r>
      <w:bookmarkEnd w:id="8"/>
      <w:bookmarkEnd w:id="9"/>
      <w:bookmarkEnd w:id="10"/>
    </w:p>
    <w:p w14:paraId="6D58920A">
      <w:pPr>
        <w:spacing w:line="560" w:lineRule="exact"/>
        <w:ind w:firstLine="640" w:firstLineChars="200"/>
        <w:textAlignment w:val="baseline"/>
        <w:rPr>
          <w:rFonts w:hint="eastAsia" w:ascii="仿宋_GB2312" w:hAnsi="仿宋_GB2312" w:eastAsia="仿宋_GB2312" w:cs="仿宋_GB2312"/>
          <w:sz w:val="32"/>
          <w:szCs w:val="32"/>
        </w:rPr>
      </w:pPr>
      <w:r>
        <w:rPr>
          <w:rFonts w:ascii="仿宋_GB2312" w:hAnsi="仿宋_GB2312" w:eastAsia="仿宋_GB2312" w:cs="仿宋_GB2312"/>
          <w:sz w:val="32"/>
          <w:szCs w:val="32"/>
        </w:rPr>
        <w:t>政务服务地图</w:t>
      </w:r>
      <w:r>
        <w:rPr>
          <w:rFonts w:hint="eastAsia" w:ascii="仿宋_GB2312" w:hAnsi="仿宋_GB2312" w:eastAsia="仿宋_GB2312" w:cs="仿宋_GB2312"/>
          <w:sz w:val="32"/>
          <w:szCs w:val="32"/>
        </w:rPr>
        <w:t>通过汇集各类政务服务办事场所的基本信息、地理位置和事项信息等内容，利用地理信息技术，以地图形式向企业和群众提供便捷高效的场所定位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信息查询、事项预约办理、路线导航和位置服务等功能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企业和群众高效办成一件事提供信息支持。标准化是政务服务平台建设的基础性工作，是各业务系统实现互联互通、信息共享、业务协同、安全可靠运行的前提条件。在我国全面进入信息化社会、政府不断增强数字治理能力、网络地理信息开启大规模应用的背景下，制定和实施《政务服务平台政务服务地图建设技术规范》，对于深化政务服务与地理信息融合、提升政务服务水平具有重要意义。</w:t>
      </w:r>
    </w:p>
    <w:p w14:paraId="79E77287">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1.有力支撑</w:t>
      </w:r>
      <w:r>
        <w:rPr>
          <w:rFonts w:ascii="仿宋_GB2312" w:hAnsi="仿宋_GB2312" w:eastAsia="仿宋_GB2312" w:cs="仿宋_GB2312"/>
          <w:sz w:val="32"/>
          <w:szCs w:val="32"/>
        </w:rPr>
        <w:t>政务服务地图政策文件落实</w:t>
      </w:r>
      <w:r>
        <w:rPr>
          <w:rFonts w:hint="eastAsia" w:ascii="仿宋_GB2312" w:hAnsi="仿宋_GB2312" w:eastAsia="仿宋_GB2312" w:cs="仿宋_GB2312"/>
          <w:sz w:val="32"/>
          <w:szCs w:val="32"/>
        </w:rPr>
        <w:t>。</w:t>
      </w:r>
    </w:p>
    <w:p w14:paraId="3F21B0A2">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党中央国务院在推动政务服务相关政策文件中多次提出开展政务服务地图建设。《国务院关于加快推进政务服务标准化规范化便利化的指导意见》（国发〔2022〕5号）提出，“充分运用大数据、人工智能、物联网等新技术，推出‘免申即享’、政务服务地图、‘一码办事’、智能审批等创新应用模式”。《国务院办公厅关于依托全国一体化政务服务平台建立政务服务效能提升常态化工作机制的意见（国办发〔2023〕29号》提出，“推动更多政务服务以自助办、视频办、政务服务地图、数字化服务门牌等方式延伸至企业和群众身边”。以上政策文件对政务服务地图建设提出明确要求，也为国家标准研制提供了方向性指导。</w:t>
      </w:r>
    </w:p>
    <w:p w14:paraId="0A821FFB">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2.固化国家和地方政务服务地图系统建设经验。</w:t>
      </w:r>
    </w:p>
    <w:p w14:paraId="3D118D97">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各地政务服务地图建设与应用实践看，政务服务地图为实现政务服务事项网上办、就近办、高效办提供了重要支撑，积累了丰富的建设经验。同时也看到，地图服务主体多样化市场化，地图产品形式层出不穷，地图制作技术路线与方法各异，数据资源质量不同，导致政务服务地图的信息内容、可视化表达、场景设计、详略程度、更新频率、支撑系统、操作习惯等方面有明显差异，为不同区域、不同部门之间的信息共享、服务集成和应用统筹带来了困难。亟需从国家层面总结政务服务地图建设经验，制定政务服务地图相关技术标准，推广应用成功经验，化解潜在问题，推动政务地图服务建设向标准化、协同化转型。</w:t>
      </w:r>
    </w:p>
    <w:p w14:paraId="6571B68A">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3.填补政务服务平台地理信息服务领域国标空白。</w:t>
      </w:r>
    </w:p>
    <w:p w14:paraId="5674C06C">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虽然地理信息服务在政务领域应用广泛，但采用的标准多源于</w:t>
      </w:r>
      <w:r>
        <w:rPr>
          <w:rFonts w:ascii="仿宋_GB2312" w:hAnsi="仿宋_GB2312" w:eastAsia="仿宋_GB2312" w:cs="仿宋_GB2312"/>
          <w:sz w:val="32"/>
          <w:szCs w:val="32"/>
        </w:rPr>
        <w:t>测绘与地理信息行业，针对政府部门地图服务</w:t>
      </w:r>
      <w:r>
        <w:rPr>
          <w:rFonts w:hint="eastAsia" w:ascii="仿宋_GB2312" w:hAnsi="仿宋_GB2312" w:eastAsia="仿宋_GB2312" w:cs="仿宋_GB2312"/>
          <w:sz w:val="32"/>
          <w:szCs w:val="32"/>
        </w:rPr>
        <w:t>建设的</w:t>
      </w:r>
      <w:r>
        <w:rPr>
          <w:rFonts w:ascii="仿宋_GB2312" w:hAnsi="仿宋_GB2312" w:eastAsia="仿宋_GB2312" w:cs="仿宋_GB2312"/>
          <w:sz w:val="32"/>
          <w:szCs w:val="32"/>
        </w:rPr>
        <w:t>标准</w:t>
      </w:r>
      <w:r>
        <w:rPr>
          <w:rFonts w:hint="eastAsia" w:ascii="仿宋_GB2312" w:hAnsi="仿宋_GB2312" w:eastAsia="仿宋_GB2312" w:cs="仿宋_GB2312"/>
          <w:sz w:val="32"/>
          <w:szCs w:val="32"/>
        </w:rPr>
        <w:t>目前处于</w:t>
      </w:r>
      <w:r>
        <w:rPr>
          <w:rFonts w:ascii="仿宋_GB2312" w:hAnsi="仿宋_GB2312" w:eastAsia="仿宋_GB2312" w:cs="仿宋_GB2312"/>
          <w:sz w:val="32"/>
          <w:szCs w:val="32"/>
        </w:rPr>
        <w:t>空白。</w:t>
      </w:r>
      <w:r>
        <w:rPr>
          <w:rFonts w:hint="eastAsia" w:ascii="仿宋_GB2312" w:hAnsi="仿宋_GB2312" w:eastAsia="仿宋_GB2312" w:cs="仿宋_GB2312"/>
          <w:sz w:val="32"/>
          <w:szCs w:val="32"/>
        </w:rPr>
        <w:t>《政务服务平台政务服务地图建设技术规范》是首次以国家标准形式在政务服务平台建设中对地图服务的功能、数据、接入等基础内容上做出规定，充分吸纳国家、地方政务服务地图系统建设与应用的工作经验，形成固化技术模式，对政务服务平台基础性、支撑性、专业性服务建设具有重要示范意义。</w:t>
      </w:r>
    </w:p>
    <w:p w14:paraId="5806C57A">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4.提升地理信息服务与政务服务技术融合水平。</w:t>
      </w:r>
    </w:p>
    <w:p w14:paraId="16D2B5C9">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适应新形势新要求制定《政务服务平台政务服务地图建设技术规范》，将政务服务平台建设标准化的理念、原则、方法、经验引入到测绘地理信息管理部门与企事业单位，将大力推动测绘地理信息领域技术标准与国家政务服务平台标准的深入交流与融合，为全国政务服务地图一体化建设提供更加坚实保障。</w:t>
      </w:r>
    </w:p>
    <w:p w14:paraId="2C94990B">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5.有效指导各地优化政务服务地图建设和应用。</w:t>
      </w:r>
    </w:p>
    <w:p w14:paraId="5BBFF73D">
      <w:pPr>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的制定将对各地建设和优化政务服务地图起到指导作用，推动政务服务线上线下融合，助力高效办成一件事。有利于引领测绘地理信息更规范地与政务服务需求相匹配，推进建设形成统一标准、全国互认、无感漫游的一体化政务服务地图体系，有利于面向企业和群众提供跨地区、跨部门、跨层级的位置服务，从而为实现更深层次、更大区域“一网通办”提供有力支撑。</w:t>
      </w:r>
    </w:p>
    <w:p w14:paraId="6E7CBA7F">
      <w:pPr>
        <w:pStyle w:val="45"/>
        <w:spacing w:line="590" w:lineRule="exact"/>
        <w:ind w:firstLine="640"/>
        <w:outlineLvl w:val="1"/>
        <w:rPr>
          <w:rFonts w:ascii="仿宋_GB2312" w:eastAsia="仿宋_GB2312"/>
          <w:sz w:val="32"/>
          <w:szCs w:val="32"/>
        </w:rPr>
      </w:pPr>
      <w:bookmarkStart w:id="11" w:name="_Toc228262005"/>
      <w:bookmarkStart w:id="12" w:name="_Toc228263008"/>
      <w:bookmarkStart w:id="13" w:name="_Toc228262950"/>
      <w:r>
        <w:rPr>
          <w:rFonts w:hint="eastAsia" w:ascii="仿宋_GB2312" w:eastAsia="仿宋_GB2312"/>
          <w:sz w:val="32"/>
          <w:szCs w:val="32"/>
        </w:rPr>
        <w:t>（三）起草过程</w:t>
      </w:r>
      <w:bookmarkEnd w:id="11"/>
      <w:bookmarkEnd w:id="12"/>
      <w:bookmarkEnd w:id="13"/>
    </w:p>
    <w:p w14:paraId="420B8416">
      <w:pPr>
        <w:spacing w:line="560" w:lineRule="exact"/>
        <w:textAlignment w:val="baseline"/>
        <w:rPr>
          <w:rFonts w:hint="eastAsia" w:ascii="仿宋_GB2312" w:hAnsi="仿宋_GB2312" w:eastAsia="仿宋_GB2312" w:cs="仿宋_GB2312"/>
          <w:b/>
          <w:bCs/>
          <w:color w:val="000000" w:themeColor="text1"/>
          <w:sz w:val="32"/>
          <w:szCs w:val="32"/>
          <w14:textFill>
            <w14:solidFill>
              <w14:schemeClr w14:val="tx1"/>
            </w14:solidFill>
          </w14:textFill>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前期预研</w:t>
      </w:r>
      <w:r>
        <w:rPr>
          <w:rFonts w:hint="eastAsia" w:ascii="仿宋_GB2312" w:hAnsi="仿宋_GB2312" w:eastAsia="仿宋_GB2312" w:cs="仿宋_GB2312"/>
          <w:b/>
          <w:bCs/>
          <w:color w:val="000000" w:themeColor="text1"/>
          <w:sz w:val="32"/>
          <w:szCs w:val="32"/>
          <w14:textFill>
            <w14:solidFill>
              <w14:schemeClr w14:val="tx1"/>
            </w14:solidFill>
          </w14:textFill>
        </w:rPr>
        <w:t>阶段（2024年10月至2025年4月）</w:t>
      </w:r>
    </w:p>
    <w:p w14:paraId="17437C9A">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2024年10月，中国测绘</w:t>
      </w:r>
      <w:r>
        <w:rPr>
          <w:rFonts w:hint="eastAsia" w:ascii="仿宋_GB2312" w:hAnsi="仿宋_GB2312" w:eastAsia="仿宋_GB2312" w:cs="仿宋_GB2312"/>
          <w:sz w:val="32"/>
          <w:szCs w:val="32"/>
        </w:rPr>
        <w:t>科学研究院、中国标准化研究</w:t>
      </w:r>
      <w:r>
        <w:rPr>
          <w:rFonts w:hint="eastAsia" w:ascii="仿宋_GB2312" w:hAnsi="仿宋_GB2312" w:eastAsia="仿宋_GB2312" w:cs="仿宋_GB2312"/>
          <w:color w:val="000000" w:themeColor="text1"/>
          <w:sz w:val="32"/>
          <w:szCs w:val="32"/>
          <w14:textFill>
            <w14:solidFill>
              <w14:schemeClr w14:val="tx1"/>
            </w14:solidFill>
          </w14:textFill>
        </w:rPr>
        <w:t>院、</w:t>
      </w:r>
      <w:r>
        <w:rPr>
          <w:rFonts w:hint="eastAsia" w:ascii="仿宋_GB2312" w:hAnsi="仿宋_GB2312" w:eastAsia="仿宋_GB2312" w:cs="仿宋_GB2312"/>
          <w:kern w:val="0"/>
          <w:sz w:val="32"/>
          <w:szCs w:val="32"/>
        </w:rPr>
        <w:t>厦门市标准化研究院、</w:t>
      </w:r>
      <w:r>
        <w:rPr>
          <w:rFonts w:hint="eastAsia" w:ascii="仿宋_GB2312" w:hAnsi="仿宋_GB2312" w:eastAsia="仿宋_GB2312" w:cs="仿宋_GB2312"/>
          <w:color w:val="000000" w:themeColor="text1"/>
          <w:sz w:val="32"/>
          <w:szCs w:val="32"/>
          <w14:textFill>
            <w14:solidFill>
              <w14:schemeClr w14:val="tx1"/>
            </w14:solidFill>
          </w14:textFill>
        </w:rPr>
        <w:t>山东省济南市行政审批服务局、天津师范大学、苏州城市学院等单位联合成立研究团队，启</w:t>
      </w:r>
      <w:r>
        <w:rPr>
          <w:rFonts w:hint="eastAsia" w:ascii="仿宋_GB2312" w:hAnsi="仿宋_GB2312" w:eastAsia="仿宋_GB2312" w:cs="仿宋_GB2312"/>
          <w:sz w:val="32"/>
          <w:szCs w:val="32"/>
        </w:rPr>
        <w:t>动本标准研究，由各单位相关工作人员组成了标准起草组。起草组收集了国内外政务服务地图建设与应用方面的文献，通过梳理分析、专家访谈、专题研讨、技术咨询等方式，总结了政务服务平台各类用户地图使用现状与存在问题，提炼形成了标准相关的技术内容及其逻辑架构，初步提出了依托政务服务平台政务服务地图建设的技术方案。</w:t>
      </w:r>
    </w:p>
    <w:p w14:paraId="77B482C1">
      <w:pPr>
        <w:spacing w:line="59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sz w:val="32"/>
          <w:szCs w:val="32"/>
        </w:rPr>
        <w:t>在前期研究成果的基础上，标准起草组按照</w:t>
      </w:r>
      <w:r>
        <w:rPr>
          <w:rFonts w:ascii="仿宋_GB2312" w:eastAsia="仿宋_GB2312"/>
          <w:sz w:val="32"/>
          <w:szCs w:val="32"/>
        </w:rPr>
        <w:t>GB/T 1.1</w:t>
      </w:r>
      <w:r>
        <w:rPr>
          <w:rFonts w:hint="eastAsia" w:ascii="仿宋_GB2312" w:eastAsia="仿宋_GB2312"/>
          <w:sz w:val="32"/>
          <w:szCs w:val="32"/>
        </w:rPr>
        <w:t>－</w:t>
      </w:r>
      <w:r>
        <w:rPr>
          <w:rFonts w:ascii="仿宋_GB2312" w:eastAsia="仿宋_GB2312"/>
          <w:sz w:val="32"/>
          <w:szCs w:val="32"/>
        </w:rPr>
        <w:t>2020</w:t>
      </w:r>
      <w:r>
        <w:rPr>
          <w:rFonts w:hint="eastAsia" w:ascii="仿宋_GB2312" w:eastAsia="仿宋_GB2312"/>
          <w:sz w:val="32"/>
          <w:szCs w:val="32"/>
        </w:rPr>
        <w:t>《标准化工作导则</w:t>
      </w:r>
      <w:r>
        <w:rPr>
          <w:rFonts w:ascii="仿宋_GB2312" w:eastAsia="仿宋_GB2312"/>
          <w:sz w:val="32"/>
          <w:szCs w:val="32"/>
        </w:rPr>
        <w:t xml:space="preserve"> </w:t>
      </w:r>
      <w:r>
        <w:rPr>
          <w:rFonts w:hint="eastAsia" w:ascii="仿宋_GB2312" w:eastAsia="仿宋_GB2312"/>
          <w:sz w:val="32"/>
          <w:szCs w:val="32"/>
        </w:rPr>
        <w:t>第</w:t>
      </w:r>
      <w:r>
        <w:rPr>
          <w:rFonts w:ascii="仿宋_GB2312" w:eastAsia="仿宋_GB2312"/>
          <w:sz w:val="32"/>
          <w:szCs w:val="32"/>
        </w:rPr>
        <w:t>1</w:t>
      </w:r>
      <w:r>
        <w:rPr>
          <w:rFonts w:hint="eastAsia" w:ascii="仿宋_GB2312" w:eastAsia="仿宋_GB2312"/>
          <w:color w:val="000000" w:themeColor="text1"/>
          <w:sz w:val="32"/>
          <w:szCs w:val="32"/>
          <w14:textFill>
            <w14:solidFill>
              <w14:schemeClr w14:val="tx1"/>
            </w14:solidFill>
          </w14:textFill>
        </w:rPr>
        <w:t>部分：标准化文件的结构和起草规则》等规定要求起草标准草案，并提交标准立项申报材料。</w:t>
      </w:r>
    </w:p>
    <w:p w14:paraId="0A367C7A">
      <w:pPr>
        <w:spacing w:line="560" w:lineRule="exact"/>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ascii="仿宋_GB2312" w:hAnsi="仿宋_GB2312" w:eastAsia="仿宋_GB2312" w:cs="仿宋_GB2312"/>
          <w:b/>
          <w:bCs/>
          <w:sz w:val="32"/>
          <w:szCs w:val="32"/>
        </w:rPr>
        <w:t>.</w:t>
      </w:r>
      <w:r>
        <w:rPr>
          <w:rFonts w:hint="eastAsia" w:ascii="仿宋_GB2312" w:hAnsi="仿宋_GB2312" w:eastAsia="仿宋_GB2312" w:cs="仿宋_GB2312"/>
          <w:b/>
          <w:bCs/>
          <w:sz w:val="32"/>
          <w:szCs w:val="32"/>
        </w:rPr>
        <w:t>计划下达和启动阶段（2025年5月）</w:t>
      </w:r>
    </w:p>
    <w:p w14:paraId="2C20DC66">
      <w:pPr>
        <w:spacing w:line="590" w:lineRule="exact"/>
        <w:ind w:firstLine="640" w:firstLineChars="200"/>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本标准</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14:textFill>
            <w14:solidFill>
              <w14:schemeClr w14:val="tx1"/>
            </w14:solidFill>
          </w14:textFill>
        </w:rPr>
        <w:t>5年4月30批复下达。项目成立后，中国测绘</w:t>
      </w:r>
      <w:r>
        <w:rPr>
          <w:rFonts w:hint="eastAsia" w:ascii="仿宋_GB2312" w:eastAsia="仿宋_GB2312"/>
          <w:color w:val="000000" w:themeColor="text1"/>
          <w:sz w:val="32"/>
          <w:szCs w:val="32"/>
          <w:lang w:val="en-US" w:eastAsia="zh-CN"/>
          <w14:textFill>
            <w14:solidFill>
              <w14:schemeClr w14:val="tx1"/>
            </w14:solidFill>
          </w14:textFill>
        </w:rPr>
        <w:t>科学</w:t>
      </w:r>
      <w:r>
        <w:rPr>
          <w:rFonts w:hint="eastAsia" w:ascii="仿宋_GB2312" w:eastAsia="仿宋_GB2312"/>
          <w:color w:val="000000" w:themeColor="text1"/>
          <w:sz w:val="32"/>
          <w:szCs w:val="32"/>
          <w14:textFill>
            <w14:solidFill>
              <w14:schemeClr w14:val="tx1"/>
            </w14:solidFill>
          </w14:textFill>
        </w:rPr>
        <w:t>研究院和中国标准化研究院，牵头</w:t>
      </w:r>
      <w:r>
        <w:rPr>
          <w:rFonts w:hint="eastAsia" w:ascii="仿宋_GB2312" w:eastAsia="仿宋_GB2312"/>
          <w:sz w:val="32"/>
          <w:szCs w:val="32"/>
        </w:rPr>
        <w:t>成立标准编制工作组，制定工作计划和落实方案，启动标准研究及编制工作。</w:t>
      </w:r>
    </w:p>
    <w:p w14:paraId="2B45148A">
      <w:pPr>
        <w:spacing w:line="59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标准编制工作组系统收集、研究了大量国内外关于政务服务地图建设相关的政策文件、国家标准、地方标准，分析案例，提炼总结共性经验。同时，工作组赴国家政务服务平台实地调研，了解国家政务服务平台政务服务地图系统架构、建设模型及与地方部门的对接情况；赴北京市、安徽省、济南市开展实地调研，了解各地政务服务地图建设模式、技术实现、应用接入、运营管理、技术规范等方面经验和问题。结合需求、问题及成功经验形成标准编写材料。</w:t>
      </w:r>
    </w:p>
    <w:p w14:paraId="1431CB13">
      <w:pPr>
        <w:spacing w:line="560" w:lineRule="exact"/>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3．框架研究与初稿起草阶段（2025年6月至2025年8月）</w:t>
      </w:r>
    </w:p>
    <w:p w14:paraId="554862AE">
      <w:pPr>
        <w:spacing w:line="59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标准编制工作组按照</w:t>
      </w:r>
      <w:r>
        <w:rPr>
          <w:rFonts w:hint="eastAsia" w:ascii="仿宋_GB2312" w:eastAsia="仿宋_GB2312"/>
          <w:sz w:val="32"/>
          <w:szCs w:val="32"/>
        </w:rPr>
        <w:t>《国务院办公厅关于依托全国一体化政务服务平台建立政务服务效能提升常态化工作机制的意见》（国办发〔2023〕29号）、《国务院办公厅关于加强数字政府建设的指导意见》（国办发〔2022〕14号）、《国务院关于加快推进政务服务标准化规范化便利化的指导意见》（</w:t>
      </w:r>
      <w:r>
        <w:rPr>
          <w:rFonts w:ascii="仿宋_GB2312" w:eastAsia="仿宋_GB2312"/>
          <w:sz w:val="32"/>
          <w:szCs w:val="32"/>
        </w:rPr>
        <w:t>国发〔2022〕5号</w:t>
      </w:r>
      <w:r>
        <w:rPr>
          <w:rFonts w:hint="eastAsia" w:ascii="仿宋_GB2312" w:eastAsia="仿宋_GB2312"/>
          <w:sz w:val="32"/>
          <w:szCs w:val="32"/>
        </w:rPr>
        <w:t>）、《国务院办公厅关于进一步优化政务服务提升行政效能推动“高效办成一件事”的指导意见》（国办发〔2024〕5号）及《国务院办公厅关于健全“高效办成一件事”重点事项常态化推进机制的意见》（国办发〔2025〕24号）</w:t>
      </w:r>
      <w:r>
        <w:rPr>
          <w:rFonts w:hint="eastAsia" w:ascii="仿宋_GB2312" w:hAnsi="仿宋_GB2312" w:eastAsia="仿宋_GB2312" w:cs="仿宋_GB2312"/>
          <w:kern w:val="0"/>
          <w:sz w:val="32"/>
          <w:szCs w:val="32"/>
        </w:rPr>
        <w:t>等文件精神</w:t>
      </w:r>
      <w:r>
        <w:rPr>
          <w:rFonts w:hint="eastAsia" w:ascii="仿宋_GB2312" w:eastAsia="仿宋_GB2312"/>
          <w:sz w:val="32"/>
          <w:szCs w:val="32"/>
        </w:rPr>
        <w:t>，同时参考GB/T 30318-2013《地理信息公共平台基本规定》、GB/T 39046-2020《政务服务平台基础数据规范》、GB/T 40525-2021《地理信息在线共享接口规范》等标准技术内容</w:t>
      </w:r>
      <w:r>
        <w:rPr>
          <w:rFonts w:hint="eastAsia" w:ascii="仿宋_GB2312" w:hAnsi="仿宋_GB2312" w:eastAsia="仿宋_GB2312" w:cs="仿宋_GB2312"/>
          <w:sz w:val="32"/>
          <w:szCs w:val="32"/>
        </w:rPr>
        <w:t>，</w:t>
      </w:r>
      <w:r>
        <w:rPr>
          <w:rFonts w:hint="eastAsia" w:ascii="仿宋_GB2312" w:eastAsia="仿宋_GB2312"/>
          <w:sz w:val="32"/>
          <w:szCs w:val="32"/>
        </w:rPr>
        <w:t>在充分结合政务服务地图实践需求的基础上，参考国家层面关于政务服务数字化、信息化建设与数据安全等政策要求，并吸收各地成熟经验，</w:t>
      </w:r>
      <w:r>
        <w:rPr>
          <w:rFonts w:hint="eastAsia" w:ascii="仿宋_GB2312" w:hAnsi="仿宋_GB2312" w:eastAsia="仿宋_GB2312" w:cs="仿宋_GB2312"/>
          <w:sz w:val="32"/>
          <w:szCs w:val="32"/>
        </w:rPr>
        <w:t>编写形成了《政务服务平台政务服务地图建设技术规范》国家标准草案，确立了如下标准内容框架：</w:t>
      </w:r>
    </w:p>
    <w:p w14:paraId="54FE91B0">
      <w:pPr>
        <w:spacing w:line="590" w:lineRule="exact"/>
        <w:ind w:firstLine="640" w:firstLineChars="200"/>
        <w:rPr>
          <w:rFonts w:ascii="仿宋_GB2312" w:eastAsia="仿宋_GB2312"/>
          <w:sz w:val="32"/>
          <w:szCs w:val="32"/>
        </w:rPr>
      </w:pPr>
      <w:r>
        <w:rPr>
          <w:rFonts w:hint="eastAsia" w:ascii="仿宋_GB2312" w:eastAsia="仿宋_GB2312"/>
          <w:sz w:val="32"/>
          <w:szCs w:val="32"/>
        </w:rPr>
        <w:t>一是明确政务服务地图的定义和基本原则。政务服务地图通过汇集各类政务服务办事场所的基本信息、地理位置和办理事项信息，利用地理信息技术，以地图形式向服务对象提供便捷高效的场所定位、信息查询、事项预约办理、路线导航和位置服务等功能，为服务对象高效办成一件事提供支持。政务服务地图建设的基本原则包括需求导向、便民惠企，要素完备、标准统一，数字赋能、智慧便捷，统筹协同、安全可控。</w:t>
      </w:r>
    </w:p>
    <w:p w14:paraId="4527FD08">
      <w:pPr>
        <w:spacing w:line="590" w:lineRule="exact"/>
        <w:ind w:firstLine="640" w:firstLineChars="200"/>
        <w:rPr>
          <w:rFonts w:ascii="仿宋_GB2312" w:eastAsia="仿宋_GB2312"/>
          <w:sz w:val="32"/>
          <w:szCs w:val="32"/>
        </w:rPr>
      </w:pPr>
      <w:r>
        <w:rPr>
          <w:rFonts w:hint="eastAsia" w:ascii="仿宋_GB2312" w:eastAsia="仿宋_GB2312"/>
          <w:sz w:val="32"/>
          <w:szCs w:val="32"/>
        </w:rPr>
        <w:t>二是明确政务服务地图的建设层级。包括国家政务服务平台政务服务地图（含部门）、各地区政务服务平台政务服务地图。</w:t>
      </w:r>
    </w:p>
    <w:p w14:paraId="2A22EB8F">
      <w:pPr>
        <w:spacing w:line="590" w:lineRule="exact"/>
        <w:ind w:firstLine="640" w:firstLineChars="200"/>
        <w:rPr>
          <w:rFonts w:ascii="仿宋_GB2312" w:eastAsia="仿宋_GB2312"/>
          <w:sz w:val="32"/>
          <w:szCs w:val="32"/>
        </w:rPr>
      </w:pPr>
      <w:r>
        <w:rPr>
          <w:rFonts w:hint="eastAsia" w:ascii="仿宋_GB2312" w:eastAsia="仿宋_GB2312"/>
          <w:sz w:val="32"/>
          <w:szCs w:val="32"/>
        </w:rPr>
        <w:t>三是提出政务服务地图系统的技术架构。政务服务地图技术架构包括数据层、基础地图服务、系统配置和支撑、应用服务、扩展服务和应用层，以及标准规范和运维保障等支撑体系。</w:t>
      </w:r>
    </w:p>
    <w:p w14:paraId="18B383A6">
      <w:pPr>
        <w:spacing w:line="590" w:lineRule="exact"/>
        <w:ind w:firstLine="640" w:firstLineChars="200"/>
        <w:rPr>
          <w:rFonts w:ascii="仿宋_GB2312" w:eastAsia="仿宋_GB2312"/>
          <w:sz w:val="32"/>
          <w:szCs w:val="32"/>
        </w:rPr>
      </w:pPr>
      <w:r>
        <w:rPr>
          <w:rFonts w:hint="eastAsia" w:ascii="仿宋_GB2312" w:eastAsia="仿宋_GB2312"/>
          <w:sz w:val="32"/>
          <w:szCs w:val="32"/>
        </w:rPr>
        <w:t>四是明确政务服务地图的数据要求、功能要求、接入要求。数据要求包括数据内容和数据管理两部分，其中数据内容规定了政务服务地图数据内容应包括但不限于政务服务场所信息、政务服务事项信息、政务服务场所与事项关联信息、地理信息和系统信息。数据管理包括采集、核验、更新和安全管理等内容。功能要求包括基础地图服务、系统配置和支撑功能、应用服务、扩展服务四部分。接入要求规定地区平台政务服务地图应接入国家平台政务服务地图，各部门应在国家平台政务服务地图中提供政务服务场所信息，并规定了地区和部分具体的接入要求。</w:t>
      </w:r>
    </w:p>
    <w:p w14:paraId="39CE41B6">
      <w:pPr>
        <w:spacing w:line="590" w:lineRule="exact"/>
        <w:ind w:firstLine="640" w:firstLineChars="200"/>
        <w:rPr>
          <w:rFonts w:ascii="仿宋_GB2312" w:eastAsia="仿宋_GB2312"/>
          <w:sz w:val="32"/>
          <w:szCs w:val="32"/>
        </w:rPr>
      </w:pPr>
      <w:r>
        <w:rPr>
          <w:rFonts w:hint="eastAsia" w:ascii="仿宋_GB2312" w:eastAsia="仿宋_GB2312"/>
          <w:sz w:val="32"/>
          <w:szCs w:val="32"/>
        </w:rPr>
        <w:t>五是提出政务服务地图的优化提升要求，包括使用反馈和持续改进两部分，规定了政务服务管理机构应定期开展政务服务地图运行情况问题搜集，政务服务管理机构应结合群众需求和建议，持续完善地图功能。</w:t>
      </w:r>
    </w:p>
    <w:p w14:paraId="38BBA4C1">
      <w:pPr>
        <w:spacing w:line="560" w:lineRule="exact"/>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4.专题研讨与修改完善阶段（2025年9月至2026年3月）</w:t>
      </w:r>
    </w:p>
    <w:p w14:paraId="1CB02F8E">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2025年</w:t>
      </w:r>
      <w:r>
        <w:rPr>
          <w:rFonts w:hint="eastAsia" w:ascii="仿宋_GB2312" w:hAnsi="仿宋_GB2312" w:eastAsia="仿宋_GB2312" w:cs="仿宋_GB2312"/>
          <w:kern w:val="0"/>
          <w:sz w:val="32"/>
          <w:szCs w:val="32"/>
        </w:rPr>
        <w:t>9</w:t>
      </w:r>
      <w:r>
        <w:rPr>
          <w:rFonts w:ascii="仿宋_GB2312" w:hAnsi="仿宋_GB2312" w:eastAsia="仿宋_GB2312" w:cs="仿宋_GB2312"/>
          <w:kern w:val="0"/>
          <w:sz w:val="32"/>
          <w:szCs w:val="32"/>
        </w:rPr>
        <w:t>月，标准编制工作组召开在线会议，召集</w:t>
      </w:r>
      <w:r>
        <w:rPr>
          <w:rFonts w:hint="eastAsia" w:ascii="仿宋_GB2312" w:hAnsi="仿宋_GB2312" w:eastAsia="仿宋_GB2312" w:cs="仿宋_GB2312"/>
          <w:kern w:val="0"/>
          <w:sz w:val="32"/>
          <w:szCs w:val="32"/>
        </w:rPr>
        <w:t>山西省、上海市、安徽省、贵州省、济南市、南京市、深圳市等政务服务机构和湖北省省标院等10家单位</w:t>
      </w:r>
      <w:r>
        <w:rPr>
          <w:rFonts w:ascii="仿宋_GB2312" w:hAnsi="仿宋_GB2312" w:eastAsia="仿宋_GB2312" w:cs="仿宋_GB2312"/>
          <w:kern w:val="0"/>
          <w:sz w:val="32"/>
          <w:szCs w:val="32"/>
        </w:rPr>
        <w:t>的专家对标准框架、标准内容进行讨论研究。与会专家围绕标准定位、功能</w:t>
      </w:r>
      <w:r>
        <w:rPr>
          <w:rFonts w:hint="eastAsia" w:ascii="仿宋_GB2312" w:hAnsi="仿宋_GB2312" w:eastAsia="仿宋_GB2312" w:cs="仿宋_GB2312"/>
          <w:kern w:val="0"/>
          <w:sz w:val="32"/>
          <w:szCs w:val="32"/>
        </w:rPr>
        <w:t>内容</w:t>
      </w:r>
      <w:r>
        <w:rPr>
          <w:rFonts w:ascii="仿宋_GB2312" w:hAnsi="仿宋_GB2312" w:eastAsia="仿宋_GB2312" w:cs="仿宋_GB2312"/>
          <w:kern w:val="0"/>
          <w:sz w:val="32"/>
          <w:szCs w:val="32"/>
        </w:rPr>
        <w:t>、跨域服务特色、发布渠道、安全要求、接口开放、等方面提出了意见建议。南京市大数据局提出“落实集约化建设等文件精神，体现赋能要求、交互要求和安全要求”；安徽大数据局提出“具体功能建议分</w:t>
      </w:r>
      <w:r>
        <w:rPr>
          <w:rFonts w:hint="eastAsia" w:ascii="仿宋_GB2312" w:hAnsi="仿宋_GB2312" w:eastAsia="仿宋_GB2312" w:cs="仿宋_GB2312"/>
          <w:kern w:val="0"/>
          <w:sz w:val="32"/>
          <w:szCs w:val="32"/>
        </w:rPr>
        <w:t>类</w:t>
      </w:r>
      <w:r>
        <w:rPr>
          <w:rFonts w:ascii="仿宋_GB2312" w:hAnsi="仿宋_GB2312" w:eastAsia="仿宋_GB2312" w:cs="仿宋_GB2312"/>
          <w:kern w:val="0"/>
          <w:sz w:val="32"/>
          <w:szCs w:val="32"/>
        </w:rPr>
        <w:t>管理</w:t>
      </w:r>
      <w:r>
        <w:rPr>
          <w:rFonts w:hint="eastAsia" w:ascii="仿宋_GB2312" w:hAnsi="仿宋_GB2312" w:eastAsia="仿宋_GB2312" w:cs="仿宋_GB2312"/>
          <w:kern w:val="0"/>
          <w:sz w:val="32"/>
          <w:szCs w:val="32"/>
        </w:rPr>
        <w:t>，如</w:t>
      </w:r>
      <w:r>
        <w:rPr>
          <w:rFonts w:ascii="仿宋_GB2312" w:hAnsi="仿宋_GB2312" w:eastAsia="仿宋_GB2312" w:cs="仿宋_GB2312"/>
          <w:kern w:val="0"/>
          <w:sz w:val="32"/>
          <w:szCs w:val="32"/>
        </w:rPr>
        <w:t>基础版、升级版、高配版”</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基本功能建议明确统一认证、跨区应用授权”“管理功能建议补充‘主题类’管理和‘区域’管理”；贵州省政务服务中心提出“增加政务服务区域综合推荐，如大厅的排队叫号情况、好差评情况”“探索与第三方地图合作，把政务地图推送给高德地图”“地图的展示范围，社区（村）和园区、自助服务点等政务服务信息也要考虑进去”；上海市大数据中心提出“导航方式由点位导航转为事项导航，将地理与政务服务关联，定位于政务服务”；上海市政府办公厅提出“考虑跨域办服务的区域特色，如长三角和京津冀的特殊需求”；山西省政务信息管理局提出“将政务服务地图与公众地图差异化设计，从政务服务角度区分”；安徽大数据局提出“地图的发布渠道、端口明确掌上端和网上端”。标准编制工作组对专家意见进行梳理，共形成了1</w:t>
      </w:r>
      <w:r>
        <w:rPr>
          <w:rFonts w:hint="eastAsia" w:ascii="仿宋_GB2312" w:hAnsi="仿宋_GB2312" w:eastAsia="仿宋_GB2312" w:cs="仿宋_GB2312"/>
          <w:kern w:val="0"/>
          <w:sz w:val="32"/>
          <w:szCs w:val="32"/>
        </w:rPr>
        <w:t>4</w:t>
      </w:r>
      <w:r>
        <w:rPr>
          <w:rFonts w:ascii="仿宋_GB2312" w:hAnsi="仿宋_GB2312" w:eastAsia="仿宋_GB2312" w:cs="仿宋_GB2312"/>
          <w:kern w:val="0"/>
          <w:sz w:val="32"/>
          <w:szCs w:val="32"/>
        </w:rPr>
        <w:t>条建议，并对建议分别进行处理，详细说明了采纳与否情况，进一步修改完善了标准文本。</w:t>
      </w:r>
    </w:p>
    <w:p w14:paraId="2E1D22E5">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2025年10月至12月，</w:t>
      </w:r>
      <w:r>
        <w:rPr>
          <w:rFonts w:ascii="仿宋_GB2312" w:hAnsi="仿宋_GB2312" w:eastAsia="仿宋_GB2312" w:cs="仿宋_GB2312"/>
          <w:kern w:val="0"/>
          <w:sz w:val="32"/>
          <w:szCs w:val="32"/>
        </w:rPr>
        <w:t>标准编制工作组召开多次</w:t>
      </w:r>
      <w:r>
        <w:rPr>
          <w:rFonts w:hint="eastAsia" w:ascii="仿宋_GB2312" w:hAnsi="仿宋_GB2312" w:eastAsia="仿宋_GB2312" w:cs="仿宋_GB2312"/>
          <w:kern w:val="0"/>
          <w:sz w:val="32"/>
          <w:szCs w:val="32"/>
        </w:rPr>
        <w:t>线上线下</w:t>
      </w:r>
      <w:r>
        <w:rPr>
          <w:rFonts w:ascii="仿宋_GB2312" w:hAnsi="仿宋_GB2312" w:eastAsia="仿宋_GB2312" w:cs="仿宋_GB2312"/>
          <w:kern w:val="0"/>
          <w:sz w:val="32"/>
          <w:szCs w:val="32"/>
        </w:rPr>
        <w:t>会议，召集</w:t>
      </w:r>
      <w:r>
        <w:rPr>
          <w:rFonts w:hint="eastAsia" w:ascii="仿宋_GB2312" w:hAnsi="仿宋_GB2312" w:eastAsia="仿宋_GB2312" w:cs="仿宋_GB2312"/>
          <w:kern w:val="0"/>
          <w:sz w:val="32"/>
          <w:szCs w:val="32"/>
        </w:rPr>
        <w:t>网信办、国家信息中心、自然资源部信息中心、水利部信息中心、地图技术审查中心、基础地理信息中心、中国地图出版社和济南市行政审批服务局、中国标准化研究院等单位的15位专家对优化完善的标准文本征求意见。</w:t>
      </w:r>
      <w:r>
        <w:rPr>
          <w:rFonts w:ascii="仿宋_GB2312" w:hAnsi="仿宋_GB2312" w:eastAsia="仿宋_GB2312" w:cs="仿宋_GB2312"/>
          <w:kern w:val="0"/>
          <w:sz w:val="32"/>
          <w:szCs w:val="32"/>
        </w:rPr>
        <w:t>与会专家围绕标准结构、术语规范、数据要求、技术架构、地图服务、附录格式等方面提出了意见建议。水利部信息中心提出“建议增加业务要求和安全要求”“文字通篇打磨，采用标准的表述，用应、宜、可，避免悬置段”“路径分析功能应放到应用服务中，建议用导航服务”；自然资源部部地图技术审查中心监控处提出“建议将‘企业和群众’的描述改为‘服务对象’”“将‘列入党群工作机构序列但’描述改为‘其他’”“建设层级建议用图表示”“基础地图服务应由内容经国家审核批准合法有效的互联网地理信息服务平台提供支撑，避免列举企业名称”“增加免责说明信息，明确地图不作为行政区域划界依据”“补充主出入口位置、天气信息、停车信息等便民指引信息”；基础地理信息中心信息服务部提出“统一政务服务地图名称”“术语定义应增加引用标准”“缩略语可放到术语定义中”“数据核验应建立常态化机制”；自然资源部信息中心提出“系统架构图应区分前台和后台应用，管理功能可改为维护功能”“技术架构可分别说明业务架构和技术架构”“增加服务形式与框架图出口对应”；中国地图出版社中国地图编辑部提出“附录</w:t>
      </w:r>
      <w:r>
        <w:rPr>
          <w:rFonts w:hint="eastAsia" w:ascii="仿宋_GB2312" w:hAnsi="仿宋_GB2312" w:eastAsia="仿宋_GB2312" w:cs="仿宋_GB2312"/>
          <w:kern w:val="0"/>
          <w:sz w:val="32"/>
          <w:szCs w:val="32"/>
        </w:rPr>
        <w:t>中</w:t>
      </w:r>
      <w:r>
        <w:rPr>
          <w:rFonts w:ascii="仿宋_GB2312" w:hAnsi="仿宋_GB2312" w:eastAsia="仿宋_GB2312" w:cs="仿宋_GB2312"/>
          <w:kern w:val="0"/>
          <w:sz w:val="32"/>
          <w:szCs w:val="32"/>
        </w:rPr>
        <w:t>数据字典结构化，增加‘备注’字段”；国家信息中心公共技术服务部提出“规范性引用文件应放到参考文献”“数据更新应明确月度、季度和年度周期”。标准编制工作组对专家意见进行梳理，共形成了</w:t>
      </w:r>
      <w:r>
        <w:rPr>
          <w:rFonts w:hint="eastAsia" w:ascii="仿宋_GB2312" w:hAnsi="仿宋_GB2312" w:eastAsia="仿宋_GB2312" w:cs="仿宋_GB2312"/>
          <w:kern w:val="0"/>
          <w:sz w:val="32"/>
          <w:szCs w:val="32"/>
        </w:rPr>
        <w:t>29</w:t>
      </w:r>
      <w:r>
        <w:rPr>
          <w:rFonts w:ascii="仿宋_GB2312" w:hAnsi="仿宋_GB2312" w:eastAsia="仿宋_GB2312" w:cs="仿宋_GB2312"/>
          <w:kern w:val="0"/>
          <w:sz w:val="32"/>
          <w:szCs w:val="32"/>
        </w:rPr>
        <w:t>条建议，并对建议分别进行处理，详细说明了采纳与否情况，进一步修改完善了标准文本。</w:t>
      </w:r>
    </w:p>
    <w:p w14:paraId="3666B070">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2026年3月，标准编制工作组在政务服务领域和地理信息领域征求意见，通过线下函询和在线会议的方式征求了16个单位的意见。专家围绕标准文本的结构、术语、数据管理、系统功能、附录格式等内容提出意见建议。厦门市标准化研究院指出文本中多处出现悬置段，建议删除或调整至合理位置，同时指出标准正文中存在约束政府工作部门的条款，应修改为技术性要求，避免越权分配行政职责；山西省行政审批服务管理局建议体现“高效办成一件事”相关内容。自然资源部信息中心建议确认标准名称中为“全国一体化政务服务平台”还是“政务服务平台”，并提出“优化提升”表述有待商榷；同时建议规范性引用文件按相关要求排序。安徽省数据资源局建议将“预约办理”拆分为“在线预约”和“事项办理”两个独立动作，并将“便民服务事项”修改为“相关便民服务事项的办理场所”；建议明确由“政府管理机构”负责要素规范性把关，将数据更新环节中的“政府服务机构抽检”修改为“政府管理机构抽检”；建议将“高效办成一件事”明确为“高效办成重点事项”，并将“跳转线上办理系统”修改为“跳转线上办理入口”。厦门市标准化研究院建议核查相关国家标准中已有的术语定义，适当引用。国家基础地理信息中心建议“政务服务场所”概念应严格界定，非政务服务内容可放在“专题地理信息”或“扩展服务”章节；建议统筹协调第3.3条、第8.1.5条、第9.4条内容；建议统一相关技术内容的表述和范围，如矢量数据要素与第8.1.4条保持一致；建议在附录中加上“业务事项办理编码”以保持与附录B一致；核实第8.1.4条中基础地理信息用语是否与GB/T 13923一致。安徽省数据资源局建议将“地方系统”统一修正为“地区平台政务服务地图”。国家基础地理信息中心建议将第9.1.1条中地图数据包括的图层内容放入第8条数据内容中。以上意见已由标准编制工作组逐条梳理，并相应修改完善标准文本。</w:t>
      </w:r>
    </w:p>
    <w:p w14:paraId="2EE7A49E">
      <w:pPr>
        <w:widowControl/>
        <w:spacing w:line="560" w:lineRule="exact"/>
        <w:textAlignment w:val="baseline"/>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sz w:val="32"/>
          <w:szCs w:val="32"/>
        </w:rPr>
        <w:t>5.征求意见稿形成阶段（202</w:t>
      </w:r>
      <w:r>
        <w:rPr>
          <w:rFonts w:hint="eastAsia" w:ascii="仿宋_GB2312" w:hAnsi="仿宋_GB2312" w:eastAsia="仿宋_GB2312" w:cs="仿宋_GB2312"/>
          <w:b/>
          <w:bCs/>
          <w:color w:val="000000" w:themeColor="text1"/>
          <w:sz w:val="32"/>
          <w:szCs w:val="32"/>
          <w14:textFill>
            <w14:solidFill>
              <w14:schemeClr w14:val="tx1"/>
            </w14:solidFill>
          </w14:textFill>
        </w:rPr>
        <w:t>6年4月-</w:t>
      </w:r>
      <w:r>
        <w:rPr>
          <w:rFonts w:ascii="仿宋_GB2312" w:hAnsi="仿宋_GB2312" w:eastAsia="仿宋_GB2312" w:cs="仿宋_GB2312"/>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月）</w:t>
      </w:r>
    </w:p>
    <w:p w14:paraId="18C1BEF3">
      <w:pPr>
        <w:widowControl/>
        <w:spacing w:line="560" w:lineRule="exact"/>
        <w:ind w:firstLine="640" w:firstLineChars="200"/>
        <w:textAlignment w:val="baseline"/>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2026年4月下旬，标准编制工作组对完成修改的征求意见稿进行内部讨论和文本统稿；</w:t>
      </w:r>
      <w:bookmarkStart w:id="14" w:name="OLE_LINK4"/>
      <w:r>
        <w:rPr>
          <w:rFonts w:hint="eastAsia" w:ascii="仿宋_GB2312" w:hAnsi="仿宋_GB2312" w:eastAsia="仿宋_GB2312" w:cs="仿宋_GB2312"/>
          <w:color w:val="000000" w:themeColor="text1"/>
          <w:kern w:val="0"/>
          <w:sz w:val="32"/>
          <w:szCs w:val="32"/>
          <w14:textFill>
            <w14:solidFill>
              <w14:schemeClr w14:val="tx1"/>
            </w14:solidFill>
          </w14:textFill>
        </w:rPr>
        <w:t>全国行政管理和服务标准化技术委员会行政管理分委会（TC594SC1）</w:t>
      </w:r>
      <w:bookmarkEnd w:id="14"/>
      <w:r>
        <w:rPr>
          <w:rFonts w:hint="eastAsia" w:ascii="仿宋_GB2312" w:hAnsi="仿宋_GB2312" w:eastAsia="仿宋_GB2312" w:cs="仿宋_GB2312"/>
          <w:color w:val="000000" w:themeColor="text1"/>
          <w:kern w:val="0"/>
          <w:sz w:val="32"/>
          <w:szCs w:val="32"/>
          <w14:textFill>
            <w14:solidFill>
              <w14:schemeClr w14:val="tx1"/>
            </w14:solidFill>
          </w14:textFill>
        </w:rPr>
        <w:t>秘书处、天津师范大学对文本进行了多次审阅，对内容表述是否规范、征求意见材料是否完备、表述是否符合GB/T 1.1 的要求等方面提出了许多建设性修改意见和建议，</w:t>
      </w:r>
      <w:r>
        <w:rPr>
          <w:rFonts w:hint="eastAsia" w:ascii="仿宋_GB2312" w:hAnsi="仿宋_GB2312" w:eastAsia="仿宋_GB2312" w:cs="仿宋_GB2312"/>
          <w:kern w:val="0"/>
          <w:sz w:val="32"/>
          <w:szCs w:val="32"/>
        </w:rPr>
        <w:t>工作组据此对标准文本和编制说明进一步详</w:t>
      </w:r>
      <w:r>
        <w:rPr>
          <w:rFonts w:hint="eastAsia" w:ascii="仿宋_GB2312" w:hAnsi="仿宋_GB2312" w:eastAsia="仿宋_GB2312" w:cs="仿宋_GB2312"/>
          <w:color w:val="000000" w:themeColor="text1"/>
          <w:kern w:val="0"/>
          <w:sz w:val="32"/>
          <w:szCs w:val="32"/>
          <w14:textFill>
            <w14:solidFill>
              <w14:schemeClr w14:val="tx1"/>
            </w14:solidFill>
          </w14:textFill>
        </w:rPr>
        <w:t>细修改，形成了</w:t>
      </w:r>
      <w:bookmarkStart w:id="15" w:name="OLE_LINK5"/>
      <w:bookmarkStart w:id="16" w:name="OLE_LINK6"/>
      <w:r>
        <w:rPr>
          <w:rFonts w:hint="eastAsia" w:ascii="仿宋_GB2312" w:hAnsi="仿宋_GB2312" w:eastAsia="仿宋_GB2312" w:cs="仿宋_GB2312"/>
          <w:color w:val="000000" w:themeColor="text1"/>
          <w:kern w:val="0"/>
          <w:sz w:val="32"/>
          <w:szCs w:val="32"/>
          <w14:textFill>
            <w14:solidFill>
              <w14:schemeClr w14:val="tx1"/>
            </w14:solidFill>
          </w14:textFill>
        </w:rPr>
        <w:t>征求意见稿（初稿）</w:t>
      </w:r>
      <w:bookmarkEnd w:id="15"/>
      <w:bookmarkEnd w:id="16"/>
      <w:r>
        <w:rPr>
          <w:rFonts w:hint="eastAsia" w:ascii="仿宋_GB2312" w:hAnsi="仿宋_GB2312" w:eastAsia="仿宋_GB2312" w:cs="仿宋_GB2312"/>
          <w:color w:val="000000" w:themeColor="text1"/>
          <w:kern w:val="0"/>
          <w:sz w:val="32"/>
          <w:szCs w:val="32"/>
          <w14:textFill>
            <w14:solidFill>
              <w14:schemeClr w14:val="tx1"/>
            </w14:solidFill>
          </w14:textFill>
        </w:rPr>
        <w:t>与编制说明等文档。</w:t>
      </w:r>
    </w:p>
    <w:p w14:paraId="382E835A">
      <w:pPr>
        <w:widowControl/>
        <w:spacing w:line="560" w:lineRule="exact"/>
        <w:ind w:firstLine="640" w:firstLineChars="200"/>
        <w:textAlignment w:val="baseline"/>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2026年</w:t>
      </w:r>
      <w:r>
        <w:rPr>
          <w:rFonts w:ascii="仿宋_GB2312" w:hAnsi="仿宋_GB2312" w:eastAsia="仿宋_GB2312" w:cs="仿宋_GB2312"/>
          <w:color w:val="000000" w:themeColor="text1"/>
          <w:kern w:val="0"/>
          <w:sz w:val="32"/>
          <w:szCs w:val="32"/>
          <w14:textFill>
            <w14:solidFill>
              <w14:schemeClr w14:val="tx1"/>
            </w14:solidFill>
          </w14:textFill>
        </w:rPr>
        <w:t>7</w:t>
      </w:r>
      <w:r>
        <w:rPr>
          <w:rFonts w:hint="eastAsia" w:ascii="仿宋_GB2312" w:hAnsi="仿宋_GB2312" w:eastAsia="仿宋_GB2312" w:cs="仿宋_GB2312"/>
          <w:color w:val="000000" w:themeColor="text1"/>
          <w:kern w:val="0"/>
          <w:sz w:val="32"/>
          <w:szCs w:val="32"/>
          <w14:textFill>
            <w14:solidFill>
              <w14:schemeClr w14:val="tx1"/>
            </w14:solidFill>
          </w14:textFill>
        </w:rPr>
        <w:t>月1</w:t>
      </w:r>
      <w:r>
        <w:rPr>
          <w:rFonts w:ascii="仿宋_GB2312" w:hAnsi="仿宋_GB2312" w:eastAsia="仿宋_GB2312" w:cs="仿宋_GB2312"/>
          <w:color w:val="000000" w:themeColor="text1"/>
          <w:kern w:val="0"/>
          <w:sz w:val="32"/>
          <w:szCs w:val="32"/>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日，全国行政管理和服务标准化技术委员会行政管理分委会（TC594SC1）秘书处组织政务服务领域、标准制定领域专家召开评审会，对本标准征求意见稿（初稿）的总体框架、适用范围、技术条款等内容开展评审。会上专家共提出修改意见2</w:t>
      </w:r>
      <w:r>
        <w:rPr>
          <w:rFonts w:ascii="仿宋_GB2312" w:hAnsi="仿宋_GB2312" w:eastAsia="仿宋_GB2312" w:cs="仿宋_GB2312"/>
          <w:color w:val="000000" w:themeColor="text1"/>
          <w:kern w:val="0"/>
          <w:sz w:val="32"/>
          <w:szCs w:val="32"/>
          <w14:textFill>
            <w14:solidFill>
              <w14:schemeClr w14:val="tx1"/>
            </w14:solidFill>
          </w14:textFill>
        </w:rPr>
        <w:t>7</w:t>
      </w:r>
      <w:r>
        <w:rPr>
          <w:rFonts w:hint="eastAsia" w:ascii="仿宋_GB2312" w:hAnsi="仿宋_GB2312" w:eastAsia="仿宋_GB2312" w:cs="仿宋_GB2312"/>
          <w:color w:val="000000" w:themeColor="text1"/>
          <w:kern w:val="0"/>
          <w:sz w:val="32"/>
          <w:szCs w:val="32"/>
          <w14:textFill>
            <w14:solidFill>
              <w14:schemeClr w14:val="tx1"/>
            </w14:solidFill>
          </w14:textFill>
        </w:rPr>
        <w:t>条，会后经</w:t>
      </w:r>
      <w:r>
        <w:rPr>
          <w:rFonts w:ascii="仿宋_GB2312" w:hAnsi="仿宋_GB2312" w:eastAsia="仿宋_GB2312" w:cs="仿宋_GB2312"/>
          <w:color w:val="000000" w:themeColor="text1"/>
          <w:kern w:val="0"/>
          <w:sz w:val="32"/>
          <w:szCs w:val="32"/>
          <w14:textFill>
            <w14:solidFill>
              <w14:schemeClr w14:val="tx1"/>
            </w14:solidFill>
          </w14:textFill>
        </w:rPr>
        <w:t>标准编制工作组</w:t>
      </w:r>
      <w:r>
        <w:rPr>
          <w:rFonts w:hint="eastAsia" w:ascii="仿宋_GB2312" w:hAnsi="仿宋_GB2312" w:eastAsia="仿宋_GB2312" w:cs="仿宋_GB2312"/>
          <w:color w:val="000000" w:themeColor="text1"/>
          <w:kern w:val="0"/>
          <w:sz w:val="32"/>
          <w:szCs w:val="32"/>
          <w14:textFill>
            <w14:solidFill>
              <w14:schemeClr w14:val="tx1"/>
            </w14:solidFill>
          </w14:textFill>
        </w:rPr>
        <w:t>认真</w:t>
      </w:r>
      <w:r>
        <w:rPr>
          <w:rFonts w:ascii="仿宋_GB2312" w:hAnsi="仿宋_GB2312" w:eastAsia="仿宋_GB2312" w:cs="仿宋_GB2312"/>
          <w:color w:val="000000" w:themeColor="text1"/>
          <w:kern w:val="0"/>
          <w:sz w:val="32"/>
          <w:szCs w:val="32"/>
          <w14:textFill>
            <w14:solidFill>
              <w14:schemeClr w14:val="tx1"/>
            </w14:solidFill>
          </w14:textFill>
        </w:rPr>
        <w:t>梳理</w:t>
      </w:r>
      <w:r>
        <w:rPr>
          <w:rFonts w:hint="eastAsia" w:ascii="仿宋_GB2312" w:hAnsi="仿宋_GB2312" w:eastAsia="仿宋_GB2312" w:cs="仿宋_GB2312"/>
          <w:color w:val="000000" w:themeColor="text1"/>
          <w:kern w:val="0"/>
          <w:sz w:val="32"/>
          <w:szCs w:val="32"/>
          <w14:textFill>
            <w14:solidFill>
              <w14:schemeClr w14:val="tx1"/>
            </w14:solidFill>
          </w14:textFill>
        </w:rPr>
        <w:t>与分析</w:t>
      </w:r>
      <w:r>
        <w:rPr>
          <w:rFonts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确定采纳2</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条，部分采纳3条，不采纳3条，并编制形成了专家意见汇总处理表，给出了修改内容以及采纳与不采纳的理由。此次修改范围涉及了诸多章节，注重了整体的协调性。前言中，逐一核实了标准编制单位法人名称是否合规。第</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章中，第一句“优化提升方法”改为“评价与改进要求”，与修改后的第1</w:t>
      </w:r>
      <w:r>
        <w:rPr>
          <w:rFonts w:ascii="仿宋_GB2312" w:hAnsi="仿宋_GB2312" w:eastAsia="仿宋_GB2312" w:cs="仿宋_GB2312"/>
          <w:color w:val="000000" w:themeColor="text1"/>
          <w:kern w:val="0"/>
          <w:sz w:val="32"/>
          <w:szCs w:val="32"/>
          <w14:textFill>
            <w14:solidFill>
              <w14:schemeClr w14:val="tx1"/>
            </w14:solidFill>
          </w14:textFill>
        </w:rPr>
        <w:t>0</w:t>
      </w:r>
      <w:r>
        <w:rPr>
          <w:rFonts w:hint="eastAsia" w:ascii="仿宋_GB2312" w:hAnsi="仿宋_GB2312" w:eastAsia="仿宋_GB2312" w:cs="仿宋_GB2312"/>
          <w:color w:val="000000" w:themeColor="text1"/>
          <w:kern w:val="0"/>
          <w:sz w:val="32"/>
          <w:szCs w:val="32"/>
          <w14:textFill>
            <w14:solidFill>
              <w14:schemeClr w14:val="tx1"/>
            </w14:solidFill>
          </w14:textFill>
        </w:rPr>
        <w:t>章标题相适应；第二句适用范围表述改为更加具体的工作活动。第2章中，GB/T 39046增加了日期标注，与7.1.2引用一致。第</w:t>
      </w:r>
      <w:r>
        <w:rPr>
          <w:rFonts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章中，3</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全国一体化政务服务平台增加标注了来源；3</w:t>
      </w:r>
      <w:r>
        <w:rPr>
          <w:rFonts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政务服务地图删除了具有目的和效果表述的语句；3</w:t>
      </w:r>
      <w:r>
        <w:rPr>
          <w:rFonts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政务服务场所定义明确了企事业单位可依法设立的表述；3</w:t>
      </w:r>
      <w:r>
        <w:rPr>
          <w:rFonts w:ascii="仿宋_GB2312" w:hAnsi="仿宋_GB2312" w:eastAsia="仿宋_GB2312" w:cs="仿宋_GB2312"/>
          <w:color w:val="000000" w:themeColor="text1"/>
          <w:kern w:val="0"/>
          <w:sz w:val="32"/>
          <w:szCs w:val="32"/>
          <w14:textFill>
            <w14:solidFill>
              <w14:schemeClr w14:val="tx1"/>
            </w14:solidFill>
          </w14:textFill>
        </w:rPr>
        <w:t>.4</w:t>
      </w:r>
      <w:r>
        <w:rPr>
          <w:rFonts w:hint="eastAsia" w:ascii="仿宋_GB2312" w:hAnsi="仿宋_GB2312" w:eastAsia="仿宋_GB2312" w:cs="仿宋_GB2312"/>
          <w:color w:val="000000" w:themeColor="text1"/>
          <w:kern w:val="0"/>
          <w:sz w:val="32"/>
          <w:szCs w:val="32"/>
          <w14:textFill>
            <w14:solidFill>
              <w14:schemeClr w14:val="tx1"/>
            </w14:solidFill>
          </w14:textFill>
        </w:rPr>
        <w:t>政务服务机构、3</w:t>
      </w:r>
      <w:r>
        <w:rPr>
          <w:rFonts w:ascii="仿宋_GB2312" w:hAnsi="仿宋_GB2312" w:eastAsia="仿宋_GB2312" w:cs="仿宋_GB2312"/>
          <w:color w:val="000000" w:themeColor="text1"/>
          <w:kern w:val="0"/>
          <w:sz w:val="32"/>
          <w:szCs w:val="32"/>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政务服务管理机构均引用相关标准修改并标注了来源。第4章中，4</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的“统筹整合线上线下服务场所”改为“统筹整合线上线下服务渠道”，衔接“一网、一门、一端、一线”。第</w:t>
      </w:r>
      <w:r>
        <w:rPr>
          <w:rFonts w:ascii="仿宋_GB2312" w:hAnsi="仿宋_GB2312" w:eastAsia="仿宋_GB2312" w:cs="仿宋_GB2312"/>
          <w:color w:val="000000" w:themeColor="text1"/>
          <w:kern w:val="0"/>
          <w:sz w:val="32"/>
          <w:szCs w:val="32"/>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章中，</w:t>
      </w:r>
      <w:bookmarkStart w:id="17" w:name="OLE_LINK14"/>
      <w:bookmarkStart w:id="18" w:name="OLE_LINK13"/>
      <w:r>
        <w:rPr>
          <w:rFonts w:hint="eastAsia" w:ascii="仿宋_GB2312" w:hAnsi="仿宋_GB2312" w:eastAsia="仿宋_GB2312" w:cs="仿宋_GB2312"/>
          <w:color w:val="000000" w:themeColor="text1"/>
          <w:kern w:val="0"/>
          <w:sz w:val="32"/>
          <w:szCs w:val="32"/>
          <w14:textFill>
            <w14:solidFill>
              <w14:schemeClr w14:val="tx1"/>
            </w14:solidFill>
          </w14:textFill>
        </w:rPr>
        <w:t>5</w:t>
      </w:r>
      <w:r>
        <w:rPr>
          <w:rFonts w:ascii="仿宋_GB2312" w:hAnsi="仿宋_GB2312" w:eastAsia="仿宋_GB2312" w:cs="仿宋_GB2312"/>
          <w:color w:val="000000" w:themeColor="text1"/>
          <w:kern w:val="0"/>
          <w:sz w:val="32"/>
          <w:szCs w:val="32"/>
          <w14:textFill>
            <w14:solidFill>
              <w14:schemeClr w14:val="tx1"/>
            </w14:solidFill>
          </w14:textFill>
        </w:rPr>
        <w:t>.2</w:t>
      </w:r>
      <w:bookmarkEnd w:id="17"/>
      <w:bookmarkEnd w:id="18"/>
      <w:r>
        <w:rPr>
          <w:rFonts w:hint="eastAsia" w:ascii="仿宋_GB2312" w:hAnsi="仿宋_GB2312" w:eastAsia="仿宋_GB2312" w:cs="仿宋_GB2312"/>
          <w:color w:val="000000" w:themeColor="text1"/>
          <w:kern w:val="0"/>
          <w:sz w:val="32"/>
          <w:szCs w:val="32"/>
          <w14:textFill>
            <w14:solidFill>
              <w14:schemeClr w14:val="tx1"/>
            </w14:solidFill>
          </w14:textFill>
        </w:rPr>
        <w:t>删除了“支撑”等描述目的效果的语句，5</w:t>
      </w:r>
      <w:r>
        <w:rPr>
          <w:rFonts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最后一句“协同支撑”改为“支持”。第6章中，技术架构图中表述与正文章节标题调整为一一对应，如系统运维配置改为系统运维功能。第</w:t>
      </w:r>
      <w:r>
        <w:rPr>
          <w:rFonts w:ascii="仿宋_GB2312" w:hAnsi="仿宋_GB2312" w:eastAsia="仿宋_GB2312" w:cs="仿宋_GB2312"/>
          <w:color w:val="000000" w:themeColor="text1"/>
          <w:kern w:val="0"/>
          <w:sz w:val="32"/>
          <w:szCs w:val="32"/>
          <w14:textFill>
            <w14:solidFill>
              <w14:schemeClr w14:val="tx1"/>
            </w14:solidFill>
          </w14:textFill>
        </w:rPr>
        <w:t>7</w:t>
      </w:r>
      <w:r>
        <w:rPr>
          <w:rFonts w:hint="eastAsia" w:ascii="仿宋_GB2312" w:hAnsi="仿宋_GB2312" w:eastAsia="仿宋_GB2312" w:cs="仿宋_GB2312"/>
          <w:color w:val="000000" w:themeColor="text1"/>
          <w:kern w:val="0"/>
          <w:sz w:val="32"/>
          <w:szCs w:val="32"/>
          <w14:textFill>
            <w14:solidFill>
              <w14:schemeClr w14:val="tx1"/>
            </w14:solidFill>
          </w14:textFill>
        </w:rPr>
        <w:t>章中，7</w:t>
      </w:r>
      <w:r>
        <w:rPr>
          <w:rFonts w:ascii="仿宋_GB2312" w:hAnsi="仿宋_GB2312" w:eastAsia="仿宋_GB2312" w:cs="仿宋_GB2312"/>
          <w:color w:val="000000" w:themeColor="text1"/>
          <w:kern w:val="0"/>
          <w:sz w:val="32"/>
          <w:szCs w:val="32"/>
          <w14:textFill>
            <w14:solidFill>
              <w14:schemeClr w14:val="tx1"/>
            </w14:solidFill>
          </w14:textFill>
        </w:rPr>
        <w:t>.1.1</w:t>
      </w:r>
      <w:r>
        <w:rPr>
          <w:rFonts w:hint="eastAsia" w:ascii="仿宋_GB2312" w:hAnsi="仿宋_GB2312" w:eastAsia="仿宋_GB2312" w:cs="仿宋_GB2312"/>
          <w:color w:val="000000" w:themeColor="text1"/>
          <w:kern w:val="0"/>
          <w:sz w:val="32"/>
          <w:szCs w:val="32"/>
          <w14:textFill>
            <w14:solidFill>
              <w14:schemeClr w14:val="tx1"/>
            </w14:solidFill>
          </w14:textFill>
        </w:rPr>
        <w:t>删除目的性表述语句“鼓励不断丰富信息内容，”；7</w:t>
      </w:r>
      <w:r>
        <w:rPr>
          <w:rFonts w:ascii="仿宋_GB2312" w:hAnsi="仿宋_GB2312" w:eastAsia="仿宋_GB2312" w:cs="仿宋_GB2312"/>
          <w:color w:val="000000" w:themeColor="text1"/>
          <w:kern w:val="0"/>
          <w:sz w:val="32"/>
          <w:szCs w:val="32"/>
          <w14:textFill>
            <w14:solidFill>
              <w14:schemeClr w14:val="tx1"/>
            </w14:solidFill>
          </w14:textFill>
        </w:rPr>
        <w:t>.1.5</w:t>
      </w:r>
      <w:r>
        <w:rPr>
          <w:rFonts w:hint="eastAsia" w:ascii="仿宋_GB2312" w:hAnsi="仿宋_GB2312" w:eastAsia="仿宋_GB2312" w:cs="仿宋_GB2312"/>
          <w:color w:val="000000" w:themeColor="text1"/>
          <w:kern w:val="0"/>
          <w:sz w:val="32"/>
          <w:szCs w:val="32"/>
          <w14:textFill>
            <w14:solidFill>
              <w14:schemeClr w14:val="tx1"/>
            </w14:solidFill>
          </w14:textFill>
        </w:rPr>
        <w:t>第一句句首增加“满足服务对象出行、到达或办事等特定需求的”的限定。第</w:t>
      </w:r>
      <w:r>
        <w:rPr>
          <w:rFonts w:ascii="仿宋_GB2312" w:hAnsi="仿宋_GB2312" w:eastAsia="仿宋_GB2312" w:cs="仿宋_GB2312"/>
          <w:color w:val="000000" w:themeColor="text1"/>
          <w:kern w:val="0"/>
          <w:sz w:val="32"/>
          <w:szCs w:val="32"/>
          <w14:textFill>
            <w14:solidFill>
              <w14:schemeClr w14:val="tx1"/>
            </w14:solidFill>
          </w14:textFill>
        </w:rPr>
        <w:t>8</w:t>
      </w:r>
      <w:r>
        <w:rPr>
          <w:rFonts w:hint="eastAsia" w:ascii="仿宋_GB2312" w:hAnsi="仿宋_GB2312" w:eastAsia="仿宋_GB2312" w:cs="仿宋_GB2312"/>
          <w:color w:val="000000" w:themeColor="text1"/>
          <w:kern w:val="0"/>
          <w:sz w:val="32"/>
          <w:szCs w:val="32"/>
          <w14:textFill>
            <w14:solidFill>
              <w14:schemeClr w14:val="tx1"/>
            </w14:solidFill>
          </w14:textFill>
        </w:rPr>
        <w:t>章中，</w:t>
      </w:r>
      <w:bookmarkStart w:id="19" w:name="OLE_LINK15"/>
      <w:bookmarkStart w:id="20" w:name="OLE_LINK16"/>
      <w:r>
        <w:rPr>
          <w:rFonts w:ascii="仿宋_GB2312" w:hAnsi="仿宋_GB2312" w:eastAsia="仿宋_GB2312" w:cs="仿宋_GB2312"/>
          <w:color w:val="000000" w:themeColor="text1"/>
          <w:kern w:val="0"/>
          <w:sz w:val="32"/>
          <w:szCs w:val="32"/>
          <w14:textFill>
            <w14:solidFill>
              <w14:schemeClr w14:val="tx1"/>
            </w14:solidFill>
          </w14:textFill>
        </w:rPr>
        <w:t>8.3.2</w:t>
      </w:r>
      <w:bookmarkEnd w:id="19"/>
      <w:bookmarkEnd w:id="20"/>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ascii="仿宋_GB2312" w:hAnsi="仿宋_GB2312" w:eastAsia="仿宋_GB2312" w:cs="仿宋_GB2312"/>
          <w:color w:val="000000" w:themeColor="text1"/>
          <w:kern w:val="0"/>
          <w:sz w:val="32"/>
          <w:szCs w:val="32"/>
          <w14:textFill>
            <w14:solidFill>
              <w14:schemeClr w14:val="tx1"/>
            </w14:solidFill>
          </w14:textFill>
        </w:rPr>
        <w:t>8.3.3</w:t>
      </w:r>
      <w:r>
        <w:rPr>
          <w:rFonts w:hint="eastAsia" w:ascii="仿宋_GB2312" w:hAnsi="仿宋_GB2312" w:eastAsia="仿宋_GB2312" w:cs="仿宋_GB2312"/>
          <w:color w:val="000000" w:themeColor="text1"/>
          <w:kern w:val="0"/>
          <w:sz w:val="32"/>
          <w:szCs w:val="32"/>
          <w14:textFill>
            <w14:solidFill>
              <w14:schemeClr w14:val="tx1"/>
            </w14:solidFill>
          </w14:textFill>
        </w:rPr>
        <w:t>细化场所查询与服务顺序的表述；针对简化扩展服务的意见，将原</w:t>
      </w:r>
      <w:bookmarkStart w:id="21" w:name="OLE_LINK21"/>
      <w:r>
        <w:rPr>
          <w:rFonts w:hint="eastAsia" w:ascii="仿宋_GB2312" w:hAnsi="仿宋_GB2312" w:eastAsia="仿宋_GB2312" w:cs="仿宋_GB2312"/>
          <w:color w:val="000000" w:themeColor="text1"/>
          <w:kern w:val="0"/>
          <w:sz w:val="32"/>
          <w:szCs w:val="32"/>
          <w14:textFill>
            <w14:solidFill>
              <w14:schemeClr w14:val="tx1"/>
            </w14:solidFill>
          </w14:textFill>
        </w:rPr>
        <w:t>8</w:t>
      </w:r>
      <w:r>
        <w:rPr>
          <w:rFonts w:ascii="仿宋_GB2312" w:hAnsi="仿宋_GB2312" w:eastAsia="仿宋_GB2312" w:cs="仿宋_GB2312"/>
          <w:color w:val="000000" w:themeColor="text1"/>
          <w:kern w:val="0"/>
          <w:sz w:val="32"/>
          <w:szCs w:val="32"/>
          <w14:textFill>
            <w14:solidFill>
              <w14:schemeClr w14:val="tx1"/>
            </w14:solidFill>
          </w14:textFill>
        </w:rPr>
        <w:t>.4</w:t>
      </w:r>
      <w:bookmarkEnd w:id="21"/>
      <w:r>
        <w:rPr>
          <w:rFonts w:hint="eastAsia" w:ascii="仿宋_GB2312" w:hAnsi="仿宋_GB2312" w:eastAsia="仿宋_GB2312" w:cs="仿宋_GB2312"/>
          <w:color w:val="000000" w:themeColor="text1"/>
          <w:kern w:val="0"/>
          <w:sz w:val="32"/>
          <w:szCs w:val="32"/>
          <w14:textFill>
            <w14:solidFill>
              <w14:schemeClr w14:val="tx1"/>
            </w14:solidFill>
          </w14:textFill>
        </w:rPr>
        <w:t>扩展服务归并为“服务引导”“办事衔接”和“特色服务衔接”三类，通过分类归并减少逐项设条，同时保留原有服务内容。其中，服务引导包括标签化指引、智能推荐、周边服务和信息分享；办事衔接包括咨询、预约、排队信息查询、叫号提醒和在线办理入口；特色服务衔接包括集成办、跨域办、帮办、代办、导办等服务；8</w:t>
      </w:r>
      <w:r>
        <w:rPr>
          <w:rFonts w:ascii="仿宋_GB2312" w:hAnsi="仿宋_GB2312" w:eastAsia="仿宋_GB2312" w:cs="仿宋_GB2312"/>
          <w:color w:val="000000" w:themeColor="text1"/>
          <w:kern w:val="0"/>
          <w:sz w:val="32"/>
          <w:szCs w:val="32"/>
          <w14:textFill>
            <w14:solidFill>
              <w14:schemeClr w14:val="tx1"/>
            </w14:solidFill>
          </w14:textFill>
        </w:rPr>
        <w:t>.4</w:t>
      </w:r>
      <w:r>
        <w:rPr>
          <w:rFonts w:hint="eastAsia" w:ascii="仿宋_GB2312" w:hAnsi="仿宋_GB2312" w:eastAsia="仿宋_GB2312" w:cs="仿宋_GB2312"/>
          <w:color w:val="000000" w:themeColor="text1"/>
          <w:kern w:val="0"/>
          <w:sz w:val="32"/>
          <w:szCs w:val="32"/>
          <w14:textFill>
            <w14:solidFill>
              <w14:schemeClr w14:val="tx1"/>
            </w14:solidFill>
          </w14:textFill>
        </w:rPr>
        <w:t>还增加了室内楼层、窗口、出入口及无障碍设施导览的表述，增加了“自助服务”功能要求，删除了“主题服务”表述。第</w:t>
      </w:r>
      <w:r>
        <w:rPr>
          <w:rFonts w:ascii="仿宋_GB2312" w:hAnsi="仿宋_GB2312" w:eastAsia="仿宋_GB2312" w:cs="仿宋_GB2312"/>
          <w:color w:val="000000" w:themeColor="text1"/>
          <w:kern w:val="0"/>
          <w:sz w:val="32"/>
          <w:szCs w:val="32"/>
          <w14:textFill>
            <w14:solidFill>
              <w14:schemeClr w14:val="tx1"/>
            </w14:solidFill>
          </w14:textFill>
        </w:rPr>
        <w:t>9</w:t>
      </w:r>
      <w:r>
        <w:rPr>
          <w:rFonts w:hint="eastAsia" w:ascii="仿宋_GB2312" w:hAnsi="仿宋_GB2312" w:eastAsia="仿宋_GB2312" w:cs="仿宋_GB2312"/>
          <w:color w:val="000000" w:themeColor="text1"/>
          <w:kern w:val="0"/>
          <w:sz w:val="32"/>
          <w:szCs w:val="32"/>
          <w14:textFill>
            <w14:solidFill>
              <w14:schemeClr w14:val="tx1"/>
            </w14:solidFill>
          </w14:textFill>
        </w:rPr>
        <w:t>章中，按照标准化表述完善了接入要求相关语句。第10章中，章标题改为“评价与改进”，设置“1</w:t>
      </w:r>
      <w:r>
        <w:rPr>
          <w:rFonts w:ascii="仿宋_GB2312" w:hAnsi="仿宋_GB2312" w:eastAsia="仿宋_GB2312" w:cs="仿宋_GB2312"/>
          <w:color w:val="000000" w:themeColor="text1"/>
          <w:kern w:val="0"/>
          <w:sz w:val="32"/>
          <w:szCs w:val="32"/>
          <w14:textFill>
            <w14:solidFill>
              <w14:schemeClr w14:val="tx1"/>
            </w14:solidFill>
          </w14:textFill>
        </w:rPr>
        <w:t>0.1</w:t>
      </w:r>
      <w:bookmarkStart w:id="22" w:name="OLE_LINK20"/>
      <w:bookmarkStart w:id="23" w:name="OLE_LINK19"/>
      <w:r>
        <w:rPr>
          <w:rFonts w:hint="eastAsia" w:ascii="仿宋_GB2312" w:hAnsi="仿宋_GB2312" w:eastAsia="仿宋_GB2312" w:cs="仿宋_GB2312"/>
          <w:color w:val="000000" w:themeColor="text1"/>
          <w:kern w:val="0"/>
          <w:sz w:val="32"/>
          <w:szCs w:val="32"/>
          <w14:textFill>
            <w14:solidFill>
              <w14:schemeClr w14:val="tx1"/>
            </w14:solidFill>
          </w14:textFill>
        </w:rPr>
        <w:t>评价方法</w:t>
      </w:r>
      <w:bookmarkEnd w:id="22"/>
      <w:bookmarkEnd w:id="23"/>
      <w:r>
        <w:rPr>
          <w:rFonts w:hint="eastAsia" w:ascii="仿宋_GB2312" w:hAnsi="仿宋_GB2312" w:eastAsia="仿宋_GB2312" w:cs="仿宋_GB2312"/>
          <w:color w:val="000000" w:themeColor="text1"/>
          <w:kern w:val="0"/>
          <w:sz w:val="32"/>
          <w:szCs w:val="32"/>
          <w14:textFill>
            <w14:solidFill>
              <w14:schemeClr w14:val="tx1"/>
            </w14:solidFill>
          </w14:textFill>
        </w:rPr>
        <w:t>”和“1</w:t>
      </w:r>
      <w:r>
        <w:rPr>
          <w:rFonts w:ascii="仿宋_GB2312" w:hAnsi="仿宋_GB2312" w:eastAsia="仿宋_GB2312" w:cs="仿宋_GB2312"/>
          <w:color w:val="000000" w:themeColor="text1"/>
          <w:kern w:val="0"/>
          <w:sz w:val="32"/>
          <w:szCs w:val="32"/>
          <w14:textFill>
            <w14:solidFill>
              <w14:schemeClr w14:val="tx1"/>
            </w14:solidFill>
          </w14:textFill>
        </w:rPr>
        <w:t>0.2</w:t>
      </w:r>
      <w:r>
        <w:rPr>
          <w:rFonts w:hint="eastAsia" w:ascii="仿宋_GB2312" w:hAnsi="仿宋_GB2312" w:eastAsia="仿宋_GB2312" w:cs="仿宋_GB2312"/>
          <w:color w:val="000000" w:themeColor="text1"/>
          <w:kern w:val="0"/>
          <w:sz w:val="32"/>
          <w:szCs w:val="32"/>
          <w14:textFill>
            <w14:solidFill>
              <w14:schemeClr w14:val="tx1"/>
            </w14:solidFill>
          </w14:textFill>
        </w:rPr>
        <w:t>改进处置”，评价方法列明了自我评价、用户满意度调查、档案记录查阅和第三方独立验证等4项具体方法。附录A中，表</w:t>
      </w:r>
      <w:r>
        <w:rPr>
          <w:rFonts w:ascii="仿宋_GB2312" w:hAnsi="仿宋_GB2312" w:eastAsia="仿宋_GB2312" w:cs="仿宋_GB2312"/>
          <w:color w:val="000000" w:themeColor="text1"/>
          <w:kern w:val="0"/>
          <w:sz w:val="32"/>
          <w:szCs w:val="32"/>
          <w14:textFill>
            <w14:solidFill>
              <w14:schemeClr w14:val="tx1"/>
            </w14:solidFill>
          </w14:textFill>
        </w:rPr>
        <w:t>A.1</w:t>
      </w:r>
      <w:r>
        <w:rPr>
          <w:rFonts w:hint="eastAsia" w:ascii="仿宋_GB2312" w:hAnsi="仿宋_GB2312" w:eastAsia="仿宋_GB2312" w:cs="仿宋_GB2312"/>
          <w:color w:val="000000" w:themeColor="text1"/>
          <w:kern w:val="0"/>
          <w:sz w:val="32"/>
          <w:szCs w:val="32"/>
          <w14:textFill>
            <w14:solidFill>
              <w14:schemeClr w14:val="tx1"/>
            </w14:solidFill>
          </w14:textFill>
        </w:rPr>
        <w:t>“咨询电话”的备注调整为“场所咨询电话或统一咨询电话”。此外，对各章节中使用“宜”的语句逐条校核，</w:t>
      </w:r>
      <w:r>
        <w:rPr>
          <w:rFonts w:ascii="仿宋_GB2312" w:hAnsi="仿宋_GB2312" w:eastAsia="仿宋_GB2312" w:cs="仿宋_GB2312"/>
          <w:color w:val="000000" w:themeColor="text1"/>
          <w:kern w:val="0"/>
          <w:sz w:val="32"/>
          <w:szCs w:val="32"/>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处改为“应”，8处删除。规范文本修改完成后，更新了编制说明文本，形成了最终版的征求意见稿及相关配套文档。</w:t>
      </w:r>
    </w:p>
    <w:p w14:paraId="0FB59399">
      <w:pPr>
        <w:widowControl/>
        <w:spacing w:line="560" w:lineRule="exact"/>
        <w:textAlignment w:val="baseline"/>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6.后续工作安排</w:t>
      </w:r>
    </w:p>
    <w:p w14:paraId="43EC0150">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进入征求意见阶段，按程序提交最终的征求意见稿，向行业主管部门、政务服务机构、标准化技术机构、高校研究院所、代表性社会团体与企业、技术支持机构及有关专家征求意见。对收集到的意见与建议，标准工作组将认真分析研究，给出处理意见与理由，并根据采纳的意见完善文本，形成送审稿提交全国行政管理和服务标准化技术委员会审查。</w:t>
      </w:r>
    </w:p>
    <w:p w14:paraId="470BAF86">
      <w:pPr>
        <w:pStyle w:val="45"/>
        <w:spacing w:line="590" w:lineRule="exact"/>
        <w:ind w:firstLine="640"/>
        <w:outlineLvl w:val="1"/>
        <w:rPr>
          <w:rFonts w:ascii="仿宋_GB2312" w:eastAsia="仿宋_GB2312"/>
          <w:sz w:val="32"/>
          <w:szCs w:val="32"/>
        </w:rPr>
      </w:pPr>
      <w:bookmarkStart w:id="24" w:name="_Toc228262006"/>
      <w:bookmarkStart w:id="25" w:name="_Toc228262951"/>
      <w:bookmarkStart w:id="26" w:name="_Toc228263009"/>
      <w:r>
        <w:rPr>
          <w:rFonts w:hint="eastAsia" w:ascii="仿宋_GB2312" w:eastAsia="仿宋_GB2312"/>
          <w:sz w:val="32"/>
          <w:szCs w:val="32"/>
        </w:rPr>
        <w:t>（四）起草分工</w:t>
      </w:r>
      <w:bookmarkEnd w:id="24"/>
      <w:bookmarkEnd w:id="25"/>
      <w:bookmarkEnd w:id="26"/>
    </w:p>
    <w:p w14:paraId="210763AF">
      <w:pPr>
        <w:widowControl/>
        <w:spacing w:line="560" w:lineRule="exact"/>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1.本文件起草单位</w:t>
      </w:r>
    </w:p>
    <w:p w14:paraId="1C8961D4">
      <w:pPr>
        <w:widowControl/>
        <w:spacing w:line="560" w:lineRule="exact"/>
        <w:ind w:firstLine="640" w:firstLineChars="200"/>
        <w:textAlignment w:val="baseline"/>
      </w:pPr>
      <w:bookmarkStart w:id="27" w:name="_Hlk228280142"/>
      <w:bookmarkStart w:id="28" w:name="OLE_LINK8"/>
      <w:r>
        <w:rPr>
          <w:rFonts w:hint="eastAsia" w:ascii="仿宋_GB2312" w:hAnsi="仿宋_GB2312" w:eastAsia="仿宋_GB2312" w:cs="仿宋_GB2312"/>
          <w:kern w:val="0"/>
          <w:sz w:val="32"/>
          <w:szCs w:val="32"/>
        </w:rPr>
        <w:t>中国测绘科学研究院、中国标准化研究院、厦门市标准化研究院、山东省济南市行政审批服务局</w:t>
      </w:r>
      <w:bookmarkEnd w:id="27"/>
      <w:r>
        <w:rPr>
          <w:rFonts w:hint="eastAsia" w:ascii="仿宋_GB2312" w:hAnsi="仿宋_GB2312" w:eastAsia="仿宋_GB2312" w:cs="仿宋_GB2312"/>
          <w:kern w:val="0"/>
          <w:sz w:val="32"/>
          <w:szCs w:val="32"/>
        </w:rPr>
        <w:t>、</w:t>
      </w:r>
      <w:bookmarkEnd w:id="28"/>
      <w:r>
        <w:rPr>
          <w:rFonts w:hint="eastAsia" w:ascii="仿宋_GB2312" w:hAnsi="仿宋_GB2312" w:eastAsia="仿宋_GB2312" w:cs="仿宋_GB2312"/>
          <w:kern w:val="0"/>
          <w:sz w:val="32"/>
          <w:szCs w:val="32"/>
        </w:rPr>
        <w:t>上海市政府办公厅、天津师范大学、苏州城市学院、</w:t>
      </w:r>
      <w:r>
        <w:rPr>
          <w:rFonts w:ascii="仿宋_GB2312" w:hAnsi="仿宋_GB2312" w:eastAsia="仿宋_GB2312" w:cs="仿宋_GB2312"/>
          <w:kern w:val="0"/>
          <w:sz w:val="32"/>
          <w:szCs w:val="32"/>
        </w:rPr>
        <w:t>北京市政务服务和数据管理局、</w:t>
      </w:r>
      <w:r>
        <w:rPr>
          <w:rFonts w:hint="eastAsia" w:ascii="仿宋_GB2312" w:hAnsi="仿宋_GB2312" w:eastAsia="仿宋_GB2312" w:cs="仿宋_GB2312"/>
          <w:kern w:val="0"/>
          <w:sz w:val="32"/>
          <w:szCs w:val="32"/>
        </w:rPr>
        <w:t>贵州省人民政府办公厅、江苏省数据局、南京市数据局、安徽省数据资源管理局、</w:t>
      </w:r>
      <w:r>
        <w:rPr>
          <w:rFonts w:ascii="仿宋_GB2312" w:hAnsi="仿宋_GB2312" w:eastAsia="仿宋_GB2312" w:cs="仿宋_GB2312"/>
          <w:kern w:val="0"/>
          <w:sz w:val="32"/>
          <w:szCs w:val="32"/>
        </w:rPr>
        <w:t>山西省行政审批服务管理局（山西省政务信息管理</w:t>
      </w:r>
      <w:r>
        <w:rPr>
          <w:rFonts w:hint="eastAsia" w:ascii="仿宋_GB2312" w:hAnsi="仿宋_GB2312" w:eastAsia="仿宋_GB2312" w:cs="仿宋_GB2312"/>
          <w:kern w:val="0"/>
          <w:sz w:val="32"/>
          <w:szCs w:val="32"/>
        </w:rPr>
        <w:t>局）、</w:t>
      </w:r>
      <w:r>
        <w:rPr>
          <w:rFonts w:ascii="仿宋_GB2312" w:hAnsi="仿宋_GB2312" w:eastAsia="仿宋_GB2312" w:cs="仿宋_GB2312"/>
          <w:kern w:val="0"/>
          <w:sz w:val="32"/>
          <w:szCs w:val="32"/>
        </w:rPr>
        <w:t>自然资源部信息中心</w:t>
      </w:r>
      <w:r>
        <w:rPr>
          <w:rFonts w:hint="eastAsia" w:ascii="仿宋_GB2312" w:hAnsi="仿宋_GB2312" w:eastAsia="仿宋_GB2312" w:cs="仿宋_GB2312"/>
          <w:kern w:val="0"/>
          <w:sz w:val="32"/>
          <w:szCs w:val="32"/>
        </w:rPr>
        <w:t>、国家基础地理信息中心、内蒙古自治区政务服务与数据管理局、深圳市政务服务和数据管理局。</w:t>
      </w:r>
    </w:p>
    <w:p w14:paraId="7DECBA39">
      <w:pPr>
        <w:widowControl/>
        <w:spacing w:line="560" w:lineRule="exact"/>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2.起草单位分工</w:t>
      </w:r>
    </w:p>
    <w:p w14:paraId="66E74953">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中国测绘科学研究院：本标准编制牵头单位，负责制定工作方案、协调参与单位、确定标准整体框架、起草基础</w:t>
      </w:r>
      <w:bookmarkStart w:id="94" w:name="_GoBack"/>
      <w:bookmarkEnd w:id="94"/>
      <w:r>
        <w:rPr>
          <w:rFonts w:hint="eastAsia" w:ascii="仿宋_GB2312" w:hAnsi="仿宋_GB2312" w:eastAsia="仿宋_GB2312" w:cs="仿宋_GB2312"/>
          <w:kern w:val="0"/>
          <w:sz w:val="32"/>
          <w:szCs w:val="32"/>
        </w:rPr>
        <w:t>章节、编写编制说明、组织研讨会、处理反馈意见、修改标准文本、技术把关等。</w:t>
      </w:r>
    </w:p>
    <w:p w14:paraId="0F276331">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中国标准化研究院：参与制定工作方案</w:t>
      </w:r>
      <w:r>
        <w:rPr>
          <w:rFonts w:ascii="仿宋_GB2312" w:hAnsi="仿宋_GB2312" w:eastAsia="仿宋_GB2312" w:cs="仿宋_GB2312"/>
          <w:kern w:val="0"/>
          <w:sz w:val="32"/>
          <w:szCs w:val="32"/>
        </w:rPr>
        <w:t>、协调各参与单位</w:t>
      </w:r>
      <w:r>
        <w:rPr>
          <w:rFonts w:hint="eastAsia" w:ascii="仿宋_GB2312" w:hAnsi="仿宋_GB2312" w:eastAsia="仿宋_GB2312" w:cs="仿宋_GB2312"/>
          <w:kern w:val="0"/>
          <w:sz w:val="32"/>
          <w:szCs w:val="32"/>
        </w:rPr>
        <w:t>，确定标准整体框架，承担参与术语和定义、基本原则</w:t>
      </w:r>
      <w:bookmarkStart w:id="29" w:name="OLE_LINK3"/>
      <w:r>
        <w:rPr>
          <w:rFonts w:hint="eastAsia" w:ascii="仿宋_GB2312" w:hAnsi="仿宋_GB2312" w:eastAsia="仿宋_GB2312" w:cs="仿宋_GB2312"/>
          <w:kern w:val="0"/>
          <w:sz w:val="32"/>
          <w:szCs w:val="32"/>
        </w:rPr>
        <w:t>等章节起草</w:t>
      </w:r>
      <w:bookmarkEnd w:id="29"/>
      <w:r>
        <w:rPr>
          <w:rFonts w:hint="eastAsia" w:ascii="仿宋_GB2312" w:hAnsi="仿宋_GB2312" w:eastAsia="仿宋_GB2312" w:cs="仿宋_GB2312"/>
          <w:kern w:val="0"/>
          <w:sz w:val="32"/>
          <w:szCs w:val="32"/>
        </w:rPr>
        <w:t>，编写编制说明、组织讨论会，反馈意见分析处理的把关等。</w:t>
      </w:r>
    </w:p>
    <w:p w14:paraId="4E869585">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厦门市标准化研究院：参与确定标准整体框架，承担参与术语和定义、基本原则等章节起草，汇总处理反馈意见、修改标准文本，负责文档规范化保障等。</w:t>
      </w:r>
    </w:p>
    <w:p w14:paraId="272DDBDF">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山东省济南市行政审批服务局：参与标准框架制定，承担参与基本原则、建设层级等章节起草，汇总处理反馈意见、修改标准文本，编写编制说明，负责政务服务相关内容审核与把关。</w:t>
      </w:r>
    </w:p>
    <w:p w14:paraId="43970FF7">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上海市政府办公厅：重点参与数据要求、功能要求、应用服务和扩展服务内容研究，参与政务服务相关内容审核与把关。</w:t>
      </w:r>
    </w:p>
    <w:p w14:paraId="362AA538">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天津师范大学：</w:t>
      </w:r>
      <w:r>
        <w:rPr>
          <w:rFonts w:hint="eastAsia" w:ascii="仿宋_GB2312" w:hAnsi="仿宋_GB2312" w:eastAsia="仿宋_GB2312" w:cs="仿宋_GB2312"/>
          <w:sz w:val="32"/>
          <w:szCs w:val="32"/>
        </w:rPr>
        <w:t>参与术语和定义、基本原则等章节起草，</w:t>
      </w:r>
      <w:r>
        <w:rPr>
          <w:rFonts w:hint="eastAsia" w:ascii="仿宋_GB2312" w:hAnsi="仿宋_GB2312" w:eastAsia="仿宋_GB2312" w:cs="仿宋_GB2312"/>
          <w:kern w:val="0"/>
          <w:sz w:val="32"/>
          <w:szCs w:val="32"/>
        </w:rPr>
        <w:t>汇总处理反馈意见、修改标准文本，参与编写编制说明，校对文本资料。</w:t>
      </w:r>
    </w:p>
    <w:p w14:paraId="6E875C54">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苏州城市学院：收集国</w:t>
      </w:r>
      <w:r>
        <w:rPr>
          <w:rFonts w:hint="eastAsia" w:ascii="仿宋_GB2312" w:hAnsi="仿宋_GB2312" w:eastAsia="仿宋_GB2312" w:cs="仿宋_GB2312"/>
          <w:sz w:val="32"/>
          <w:szCs w:val="32"/>
        </w:rPr>
        <w:t>内外政务服务地图建设与应用方面的文献，总结政务服务各类用户地图使用现状与存在问题，参与技术架构等章节起草。</w:t>
      </w:r>
    </w:p>
    <w:p w14:paraId="37A622F3">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北京市政务服务和数据管理局：重点参与了数据要求、功能要求、应用服务和扩展服务内容研究，整体上对标准文本进行把关。</w:t>
      </w:r>
    </w:p>
    <w:p w14:paraId="71F1B446">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贵州省人民政府办公厅：重点参与了数据要求、功能要求、应用服务和扩展服务内容研究，参与政务服务相关内容审核与把关。</w:t>
      </w:r>
    </w:p>
    <w:p w14:paraId="4299C145">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江苏省数据局：重点参与技术架构、数据要求、功能要求内容研究，并对文本整体进行研提意见。</w:t>
      </w:r>
    </w:p>
    <w:p w14:paraId="34532CD2">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南京市数据局：重点参基本原则、建设层级和应用服务等内容研究，并对文本整体进行研提意见。</w:t>
      </w:r>
    </w:p>
    <w:p w14:paraId="67ACE346">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安徽省数据资源管理局：重点参与功能要求和接入要求内容研究，并对文本整体进行研提意见。</w:t>
      </w:r>
    </w:p>
    <w:p w14:paraId="5D6B5A06">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山西省行政审批服务管理局（山西省政务信息管理局）</w:t>
      </w:r>
      <w:r>
        <w:rPr>
          <w:rFonts w:hint="eastAsia" w:ascii="仿宋_GB2312" w:hAnsi="仿宋_GB2312" w:eastAsia="仿宋_GB2312" w:cs="仿宋_GB2312"/>
          <w:kern w:val="0"/>
          <w:sz w:val="32"/>
          <w:szCs w:val="32"/>
        </w:rPr>
        <w:t>：重点参与接入要求和优化提升内容研究，并对文本整体进行研提意见。</w:t>
      </w:r>
    </w:p>
    <w:p w14:paraId="3736E80E">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自然资源部信息中心</w:t>
      </w:r>
      <w:r>
        <w:rPr>
          <w:rFonts w:hint="eastAsia" w:ascii="仿宋_GB2312" w:hAnsi="仿宋_GB2312" w:eastAsia="仿宋_GB2312" w:cs="仿宋_GB2312"/>
          <w:kern w:val="0"/>
          <w:sz w:val="32"/>
          <w:szCs w:val="32"/>
        </w:rPr>
        <w:t>：重点参与地图数据、基础地图服务等内容研究，并对文本整体进行研提意见。</w:t>
      </w:r>
    </w:p>
    <w:p w14:paraId="2CF4B851">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国家基础地理信息中心：重点参与地图数据、基础地图服务等内容研究，并对文本整体进行研提意见。</w:t>
      </w:r>
    </w:p>
    <w:p w14:paraId="489E47A0">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内蒙古自治区政务服务与数据管理局：重点参与接入要求内容研究，并对文本整体进行研提意见。</w:t>
      </w:r>
    </w:p>
    <w:p w14:paraId="0FE1052D">
      <w:pPr>
        <w:widowControl/>
        <w:spacing w:line="56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深圳市政务服务和数据管理局。重点参与接入要求内容研究，并对文本整体进行研提意见。</w:t>
      </w:r>
    </w:p>
    <w:p w14:paraId="2ED06988">
      <w:pPr>
        <w:pStyle w:val="45"/>
        <w:spacing w:line="590" w:lineRule="exact"/>
        <w:ind w:firstLine="0" w:firstLineChars="0"/>
        <w:outlineLvl w:val="0"/>
        <w:rPr>
          <w:rFonts w:ascii="仿宋_GB2312" w:eastAsia="仿宋_GB2312"/>
          <w:bCs/>
          <w:sz w:val="36"/>
          <w:szCs w:val="36"/>
        </w:rPr>
      </w:pPr>
      <w:bookmarkStart w:id="30" w:name="_Toc228263010"/>
      <w:bookmarkStart w:id="31" w:name="_Toc228262952"/>
      <w:bookmarkStart w:id="32" w:name="_Toc228262007"/>
      <w:r>
        <w:rPr>
          <w:rFonts w:hint="eastAsia" w:ascii="仿宋_GB2312" w:eastAsia="仿宋_GB2312"/>
          <w:bCs/>
          <w:sz w:val="36"/>
          <w:szCs w:val="36"/>
        </w:rPr>
        <w:t>二、标准编制原则、主要内容及其确定依据</w:t>
      </w:r>
      <w:bookmarkEnd w:id="30"/>
      <w:bookmarkEnd w:id="31"/>
      <w:bookmarkEnd w:id="32"/>
    </w:p>
    <w:p w14:paraId="0C6D650B">
      <w:pPr>
        <w:pStyle w:val="45"/>
        <w:spacing w:line="590" w:lineRule="exact"/>
        <w:ind w:firstLine="640"/>
        <w:outlineLvl w:val="1"/>
        <w:rPr>
          <w:rFonts w:ascii="仿宋_GB2312" w:eastAsia="仿宋_GB2312"/>
          <w:sz w:val="32"/>
          <w:szCs w:val="32"/>
          <w:highlight w:val="yellow"/>
        </w:rPr>
      </w:pPr>
      <w:bookmarkStart w:id="33" w:name="_Toc228262008"/>
      <w:bookmarkStart w:id="34" w:name="_Toc228263011"/>
      <w:bookmarkStart w:id="35" w:name="_Toc228262953"/>
      <w:r>
        <w:rPr>
          <w:rFonts w:hint="eastAsia" w:ascii="仿宋_GB2312" w:eastAsia="仿宋_GB2312"/>
          <w:sz w:val="32"/>
          <w:szCs w:val="32"/>
        </w:rPr>
        <w:t>（一）编制原则</w:t>
      </w:r>
      <w:bookmarkEnd w:id="33"/>
      <w:bookmarkEnd w:id="34"/>
      <w:bookmarkEnd w:id="35"/>
    </w:p>
    <w:p w14:paraId="5BCA1A48">
      <w:pPr>
        <w:spacing w:line="590" w:lineRule="exact"/>
        <w:ind w:firstLine="640" w:firstLineChars="200"/>
        <w:rPr>
          <w:rFonts w:ascii="仿宋_GB2312" w:eastAsia="仿宋_GB2312"/>
          <w:sz w:val="32"/>
          <w:szCs w:val="32"/>
        </w:rPr>
      </w:pPr>
      <w:r>
        <w:rPr>
          <w:rFonts w:hint="eastAsia" w:ascii="仿宋_GB2312" w:eastAsia="仿宋_GB2312"/>
          <w:sz w:val="32"/>
          <w:szCs w:val="32"/>
        </w:rPr>
        <w:t>本标准依据GB/T 1.1—2020《标准化工作导则第1部分：标准化文件的结构和起草规则》给出的规则起草。本标准的主要编写原则：</w:t>
      </w:r>
    </w:p>
    <w:p w14:paraId="735F1A57">
      <w:pPr>
        <w:pStyle w:val="23"/>
        <w:spacing w:line="360" w:lineRule="auto"/>
        <w:ind w:firstLine="640"/>
        <w:rPr>
          <w:rFonts w:ascii="仿宋_GB2312" w:eastAsia="仿宋_GB2312"/>
          <w:kern w:val="2"/>
          <w:sz w:val="32"/>
          <w:szCs w:val="32"/>
        </w:rPr>
      </w:pPr>
      <w:r>
        <w:rPr>
          <w:rFonts w:hint="eastAsia" w:ascii="仿宋_GB2312" w:eastAsia="仿宋_GB2312"/>
          <w:kern w:val="2"/>
          <w:sz w:val="32"/>
          <w:szCs w:val="32"/>
        </w:rPr>
        <w:t>1.导向性原则。本标准的编制充分考虑各地政务地图建设需求，</w:t>
      </w:r>
      <w:bookmarkStart w:id="36" w:name="_Toc346522809"/>
      <w:bookmarkStart w:id="37" w:name="_Toc348019116"/>
      <w:bookmarkStart w:id="38" w:name="_Toc346547012"/>
      <w:bookmarkStart w:id="39" w:name="_Toc346217270"/>
      <w:bookmarkStart w:id="40" w:name="_Toc346218953"/>
      <w:bookmarkStart w:id="41" w:name="_Toc346547703"/>
      <w:bookmarkStart w:id="42" w:name="_Toc346547777"/>
      <w:bookmarkStart w:id="43" w:name="_Toc344102289"/>
      <w:r>
        <w:rPr>
          <w:rFonts w:hint="eastAsia" w:ascii="仿宋_GB2312" w:eastAsia="仿宋_GB2312"/>
          <w:kern w:val="2"/>
          <w:sz w:val="32"/>
          <w:szCs w:val="32"/>
        </w:rPr>
        <w:t>总结提炼各地推进政务地图建设的工作经验，明确了政务地图的建设要坚持需求导向、便民惠企，要素完备、标准统一，数据赋能、智慧便捷，统筹协同、安全可控的原则。</w:t>
      </w:r>
      <w:bookmarkEnd w:id="36"/>
      <w:bookmarkEnd w:id="37"/>
      <w:bookmarkEnd w:id="38"/>
      <w:bookmarkEnd w:id="39"/>
      <w:bookmarkEnd w:id="40"/>
      <w:bookmarkEnd w:id="41"/>
      <w:bookmarkEnd w:id="42"/>
      <w:bookmarkEnd w:id="43"/>
    </w:p>
    <w:p w14:paraId="228261CF">
      <w:pPr>
        <w:pStyle w:val="23"/>
        <w:spacing w:line="360" w:lineRule="auto"/>
        <w:ind w:firstLine="640"/>
        <w:rPr>
          <w:rFonts w:ascii="仿宋_GB2312" w:eastAsia="仿宋_GB2312"/>
          <w:kern w:val="2"/>
          <w:sz w:val="32"/>
          <w:szCs w:val="32"/>
        </w:rPr>
      </w:pPr>
      <w:r>
        <w:rPr>
          <w:rFonts w:hint="eastAsia" w:ascii="仿宋_GB2312" w:eastAsia="仿宋_GB2312"/>
          <w:kern w:val="2"/>
          <w:sz w:val="32"/>
          <w:szCs w:val="32"/>
        </w:rPr>
        <w:t>2.协调性原则。该标准的编制主要基于兼顾全国不同区域政务服务发展水平和特点的工作考量，重点提炼工作中的共性内容，</w:t>
      </w:r>
      <w:bookmarkStart w:id="44" w:name="_Toc348019117"/>
      <w:bookmarkStart w:id="45" w:name="_Toc346547704"/>
      <w:bookmarkStart w:id="46" w:name="_Toc346217271"/>
      <w:bookmarkStart w:id="47" w:name="_Toc346547013"/>
      <w:bookmarkStart w:id="48" w:name="_Toc346547778"/>
      <w:bookmarkStart w:id="49" w:name="_Toc346218954"/>
      <w:bookmarkStart w:id="50" w:name="_Toc346522810"/>
      <w:bookmarkStart w:id="51" w:name="_Toc344102290"/>
      <w:r>
        <w:rPr>
          <w:rFonts w:hint="eastAsia" w:ascii="仿宋_GB2312" w:eastAsia="仿宋_GB2312"/>
          <w:kern w:val="2"/>
          <w:sz w:val="32"/>
          <w:szCs w:val="32"/>
        </w:rPr>
        <w:t>明确了政务地图分为国家平台和区域平台建设层级、给出详细的技术架构图，并对地图的数据要求、功能要求和接入要求等内容作出明确规定，力求全面、科学、系统地指导各地区规范开展政务地图建设。</w:t>
      </w:r>
    </w:p>
    <w:bookmarkEnd w:id="44"/>
    <w:bookmarkEnd w:id="45"/>
    <w:bookmarkEnd w:id="46"/>
    <w:bookmarkEnd w:id="47"/>
    <w:bookmarkEnd w:id="48"/>
    <w:bookmarkEnd w:id="49"/>
    <w:bookmarkEnd w:id="50"/>
    <w:bookmarkEnd w:id="51"/>
    <w:p w14:paraId="61695393">
      <w:pPr>
        <w:pStyle w:val="45"/>
        <w:spacing w:line="590" w:lineRule="exact"/>
        <w:ind w:firstLine="640"/>
        <w:outlineLvl w:val="1"/>
        <w:rPr>
          <w:rFonts w:ascii="仿宋_GB2312" w:eastAsia="仿宋_GB2312"/>
          <w:sz w:val="32"/>
          <w:szCs w:val="32"/>
        </w:rPr>
      </w:pPr>
      <w:bookmarkStart w:id="52" w:name="_Toc228262009"/>
      <w:bookmarkStart w:id="53" w:name="_Toc228262954"/>
      <w:bookmarkStart w:id="54" w:name="_Toc228263012"/>
      <w:r>
        <w:rPr>
          <w:rFonts w:hint="eastAsia" w:ascii="仿宋_GB2312" w:eastAsia="仿宋_GB2312"/>
          <w:sz w:val="32"/>
          <w:szCs w:val="32"/>
        </w:rPr>
        <w:t>（二）标准主要内容</w:t>
      </w:r>
      <w:bookmarkEnd w:id="52"/>
      <w:bookmarkEnd w:id="53"/>
      <w:bookmarkEnd w:id="54"/>
    </w:p>
    <w:p w14:paraId="20B80818">
      <w:pPr>
        <w:pStyle w:val="48"/>
        <w:spacing w:line="360" w:lineRule="auto"/>
        <w:ind w:firstLine="640"/>
        <w:rPr>
          <w:rFonts w:ascii="仿宋_GB2312" w:eastAsia="仿宋_GB2312"/>
          <w:kern w:val="2"/>
          <w:sz w:val="32"/>
          <w:szCs w:val="32"/>
        </w:rPr>
      </w:pPr>
      <w:bookmarkStart w:id="55" w:name="_Toc228262010"/>
      <w:r>
        <w:rPr>
          <w:rFonts w:hint="eastAsia" w:ascii="仿宋_GB2312" w:eastAsia="仿宋_GB2312"/>
          <w:kern w:val="2"/>
          <w:sz w:val="32"/>
          <w:szCs w:val="32"/>
        </w:rPr>
        <w:t>本标准征求意见稿共设10章和3个资料性附录，主要内容如下：</w:t>
      </w:r>
      <w:bookmarkEnd w:id="55"/>
    </w:p>
    <w:p w14:paraId="4F1B4474">
      <w:pPr>
        <w:spacing w:line="560" w:lineRule="exact"/>
        <w:ind w:firstLine="640" w:firstLineChars="200"/>
        <w:textAlignment w:val="baseline"/>
        <w:rPr>
          <w:rFonts w:hint="eastAsia" w:ascii="仿宋_GB2312" w:hAnsi="仿宋_GB2312" w:eastAsia="仿宋_GB2312" w:cs="仿宋_GB2312"/>
          <w:sz w:val="32"/>
          <w:szCs w:val="32"/>
        </w:rPr>
      </w:pPr>
      <w:bookmarkStart w:id="56" w:name="_Toc228262011"/>
      <w:r>
        <w:rPr>
          <w:rFonts w:hint="eastAsia" w:ascii="仿宋_GB2312" w:hAnsi="仿宋_GB2312" w:eastAsia="仿宋_GB2312" w:cs="仿宋_GB2312"/>
          <w:sz w:val="32"/>
          <w:szCs w:val="32"/>
        </w:rPr>
        <w:t>1.范围</w:t>
      </w:r>
      <w:bookmarkEnd w:id="56"/>
    </w:p>
    <w:p w14:paraId="78067C94">
      <w:pPr>
        <w:pStyle w:val="48"/>
        <w:spacing w:line="360" w:lineRule="auto"/>
        <w:ind w:firstLine="640"/>
        <w:rPr>
          <w:rFonts w:ascii="仿宋_GB2312" w:eastAsia="仿宋_GB2312"/>
          <w:kern w:val="2"/>
          <w:sz w:val="32"/>
          <w:szCs w:val="32"/>
        </w:rPr>
      </w:pPr>
      <w:r>
        <w:rPr>
          <w:rFonts w:ascii="仿宋_GB2312" w:eastAsia="仿宋_GB2312"/>
          <w:kern w:val="2"/>
          <w:sz w:val="32"/>
          <w:szCs w:val="32"/>
        </w:rPr>
        <w:t>规定了政务服务平台政务服务地图的建设层级、技术架构、数据要求、功能要求、接入要求和评价与改进要求。</w:t>
      </w:r>
    </w:p>
    <w:p w14:paraId="53FA3365">
      <w:pPr>
        <w:pStyle w:val="48"/>
        <w:spacing w:line="360" w:lineRule="auto"/>
        <w:ind w:firstLine="640"/>
        <w:rPr>
          <w:rFonts w:ascii="仿宋_GB2312" w:eastAsia="仿宋_GB2312"/>
          <w:kern w:val="2"/>
          <w:sz w:val="32"/>
          <w:szCs w:val="32"/>
        </w:rPr>
      </w:pPr>
      <w:r>
        <w:rPr>
          <w:rFonts w:ascii="仿宋_GB2312" w:eastAsia="仿宋_GB2312"/>
          <w:kern w:val="2"/>
          <w:sz w:val="32"/>
          <w:szCs w:val="32"/>
        </w:rPr>
        <w:t>适用于国家、国务院有关部门和地区政务服务地图的规划、建设、接入、运行和评价改进</w:t>
      </w:r>
      <w:r>
        <w:rPr>
          <w:rFonts w:hint="eastAsia" w:ascii="仿宋_GB2312" w:eastAsia="仿宋_GB2312"/>
          <w:kern w:val="2"/>
          <w:sz w:val="32"/>
          <w:szCs w:val="32"/>
        </w:rPr>
        <w:t>。</w:t>
      </w:r>
    </w:p>
    <w:p w14:paraId="4B624C94">
      <w:pPr>
        <w:spacing w:line="560" w:lineRule="exact"/>
        <w:ind w:firstLine="640" w:firstLineChars="200"/>
        <w:textAlignment w:val="baseline"/>
        <w:rPr>
          <w:rFonts w:hint="eastAsia" w:ascii="仿宋_GB2312" w:hAnsi="仿宋_GB2312" w:eastAsia="仿宋_GB2312" w:cs="仿宋_GB2312"/>
          <w:sz w:val="32"/>
          <w:szCs w:val="32"/>
        </w:rPr>
      </w:pPr>
      <w:bookmarkStart w:id="57" w:name="_Toc228262012"/>
      <w:r>
        <w:rPr>
          <w:rFonts w:hint="eastAsia" w:ascii="仿宋_GB2312" w:hAnsi="仿宋_GB2312" w:eastAsia="仿宋_GB2312" w:cs="仿宋_GB2312"/>
          <w:sz w:val="32"/>
          <w:szCs w:val="32"/>
        </w:rPr>
        <w:t>2.规范性引用文件</w:t>
      </w:r>
      <w:bookmarkEnd w:id="57"/>
    </w:p>
    <w:p w14:paraId="70D275C0">
      <w:pPr>
        <w:pStyle w:val="48"/>
        <w:spacing w:line="360" w:lineRule="auto"/>
        <w:ind w:firstLine="640"/>
        <w:rPr>
          <w:rFonts w:ascii="仿宋_GB2312" w:eastAsia="仿宋_GB2312"/>
          <w:kern w:val="2"/>
          <w:sz w:val="32"/>
          <w:szCs w:val="32"/>
        </w:rPr>
      </w:pPr>
      <w:r>
        <w:rPr>
          <w:rFonts w:hint="eastAsia" w:ascii="仿宋_GB2312" w:eastAsia="仿宋_GB2312"/>
          <w:kern w:val="2"/>
          <w:sz w:val="32"/>
          <w:szCs w:val="32"/>
        </w:rPr>
        <w:t>列出本标准引用的标准文件，包括行政区划、基础地理信息要素分类、信息安全、地理信息公共平台、政务服务平台、接口规范等方面相关标准。</w:t>
      </w:r>
    </w:p>
    <w:p w14:paraId="54FC34AB">
      <w:pPr>
        <w:spacing w:line="560" w:lineRule="exact"/>
        <w:ind w:firstLine="640" w:firstLineChars="200"/>
        <w:textAlignment w:val="baseline"/>
        <w:rPr>
          <w:rFonts w:hint="eastAsia" w:ascii="仿宋_GB2312" w:hAnsi="仿宋_GB2312" w:eastAsia="仿宋_GB2312" w:cs="仿宋_GB2312"/>
          <w:sz w:val="32"/>
          <w:szCs w:val="32"/>
        </w:rPr>
      </w:pPr>
      <w:bookmarkStart w:id="58" w:name="_Toc228262013"/>
      <w:r>
        <w:rPr>
          <w:rFonts w:hint="eastAsia" w:ascii="仿宋_GB2312" w:hAnsi="仿宋_GB2312" w:eastAsia="仿宋_GB2312" w:cs="仿宋_GB2312"/>
          <w:sz w:val="32"/>
          <w:szCs w:val="32"/>
        </w:rPr>
        <w:t>3.术语和定义</w:t>
      </w:r>
      <w:bookmarkEnd w:id="58"/>
    </w:p>
    <w:p w14:paraId="6A7D6FF1">
      <w:pPr>
        <w:pStyle w:val="48"/>
        <w:ind w:firstLine="646" w:firstLineChars="202"/>
        <w:rPr>
          <w:rFonts w:ascii="仿宋_GB2312" w:eastAsia="仿宋_GB2312"/>
          <w:strike/>
          <w:sz w:val="32"/>
          <w:szCs w:val="32"/>
        </w:rPr>
      </w:pPr>
      <w:r>
        <w:rPr>
          <w:rFonts w:hint="eastAsia" w:ascii="仿宋_GB2312" w:eastAsia="仿宋_GB2312"/>
          <w:kern w:val="2"/>
          <w:sz w:val="32"/>
          <w:szCs w:val="32"/>
        </w:rPr>
        <w:t>对涉及的术语“全国一体化政务服务平台”“政务服务地图”“政务服务场所”“政务服务机构”“政务服务管理机构”进行界定和解释</w:t>
      </w:r>
      <w:r>
        <w:rPr>
          <w:rFonts w:hint="eastAsia" w:ascii="仿宋_GB2312" w:eastAsia="仿宋_GB2312"/>
          <w:sz w:val="32"/>
          <w:szCs w:val="32"/>
        </w:rPr>
        <w:t>。</w:t>
      </w:r>
    </w:p>
    <w:p w14:paraId="693C5900">
      <w:pPr>
        <w:spacing w:line="560" w:lineRule="exact"/>
        <w:ind w:firstLine="640" w:firstLineChars="200"/>
        <w:textAlignment w:val="baseline"/>
        <w:rPr>
          <w:rFonts w:hint="eastAsia" w:ascii="仿宋_GB2312" w:hAnsi="仿宋_GB2312" w:eastAsia="仿宋_GB2312" w:cs="仿宋_GB2312"/>
          <w:sz w:val="32"/>
          <w:szCs w:val="32"/>
        </w:rPr>
      </w:pPr>
      <w:bookmarkStart w:id="59" w:name="_Toc228262014"/>
      <w:r>
        <w:rPr>
          <w:rFonts w:hint="eastAsia" w:ascii="仿宋_GB2312" w:hAnsi="仿宋_GB2312" w:eastAsia="仿宋_GB2312" w:cs="仿宋_GB2312"/>
          <w:sz w:val="32"/>
          <w:szCs w:val="32"/>
        </w:rPr>
        <w:t>4.基本原则</w:t>
      </w:r>
      <w:bookmarkEnd w:id="59"/>
    </w:p>
    <w:p w14:paraId="4B2F36C8">
      <w:pPr>
        <w:pStyle w:val="48"/>
        <w:ind w:firstLine="646" w:firstLineChars="202"/>
        <w:rPr>
          <w:rFonts w:ascii="仿宋_GB2312" w:eastAsia="仿宋_GB2312"/>
          <w:kern w:val="2"/>
          <w:sz w:val="32"/>
          <w:szCs w:val="32"/>
        </w:rPr>
      </w:pPr>
      <w:r>
        <w:rPr>
          <w:rFonts w:hint="eastAsia" w:ascii="仿宋_GB2312" w:eastAsia="仿宋_GB2312"/>
          <w:kern w:val="2"/>
          <w:sz w:val="32"/>
          <w:szCs w:val="32"/>
        </w:rPr>
        <w:t>本部分给出了政务地图建设技术规范遵循的需求导向、便民惠企，要素完备、数据同源，数智赋能、智慧便捷，统筹协同、安全可控等原则，为标准详细内容的制定提供基本要求。</w:t>
      </w:r>
    </w:p>
    <w:p w14:paraId="377F535E">
      <w:pPr>
        <w:spacing w:line="560" w:lineRule="exact"/>
        <w:ind w:firstLine="640" w:firstLineChars="200"/>
        <w:textAlignment w:val="baseline"/>
        <w:rPr>
          <w:rFonts w:hint="eastAsia" w:ascii="仿宋_GB2312" w:hAnsi="仿宋_GB2312" w:eastAsia="仿宋_GB2312" w:cs="仿宋_GB2312"/>
          <w:sz w:val="32"/>
          <w:szCs w:val="32"/>
        </w:rPr>
      </w:pPr>
      <w:bookmarkStart w:id="60" w:name="_Toc228262015"/>
      <w:r>
        <w:rPr>
          <w:rFonts w:hint="eastAsia" w:ascii="仿宋_GB2312" w:hAnsi="仿宋_GB2312" w:eastAsia="仿宋_GB2312" w:cs="仿宋_GB2312"/>
          <w:sz w:val="32"/>
          <w:szCs w:val="32"/>
        </w:rPr>
        <w:t>5.建设层级</w:t>
      </w:r>
      <w:bookmarkEnd w:id="60"/>
    </w:p>
    <w:p w14:paraId="2AAE1A37">
      <w:pPr>
        <w:pStyle w:val="48"/>
        <w:ind w:firstLine="646" w:firstLineChars="202"/>
        <w:rPr>
          <w:rFonts w:ascii="仿宋_GB2312" w:eastAsia="仿宋_GB2312"/>
          <w:kern w:val="2"/>
          <w:sz w:val="32"/>
          <w:szCs w:val="32"/>
        </w:rPr>
      </w:pPr>
      <w:r>
        <w:rPr>
          <w:rFonts w:hint="eastAsia" w:ascii="仿宋_GB2312" w:eastAsia="仿宋_GB2312"/>
          <w:kern w:val="2"/>
          <w:sz w:val="32"/>
          <w:szCs w:val="32"/>
        </w:rPr>
        <w:t>明确政务服务平台政务服务地图由国家（含部门）政务服务平台政务服务地图和各地区政务服务平台政务服务地图信息组成，为政务服务地图建设技术提供分类依据。</w:t>
      </w:r>
    </w:p>
    <w:p w14:paraId="74306B05">
      <w:pPr>
        <w:spacing w:line="560" w:lineRule="exact"/>
        <w:ind w:firstLine="640" w:firstLineChars="200"/>
        <w:textAlignment w:val="baseline"/>
        <w:rPr>
          <w:rFonts w:hint="eastAsia" w:ascii="仿宋_GB2312" w:hAnsi="仿宋_GB2312" w:eastAsia="仿宋_GB2312" w:cs="仿宋_GB2312"/>
          <w:sz w:val="32"/>
          <w:szCs w:val="32"/>
        </w:rPr>
      </w:pPr>
      <w:bookmarkStart w:id="61" w:name="_Toc228262016"/>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技术架构</w:t>
      </w:r>
      <w:bookmarkEnd w:id="61"/>
    </w:p>
    <w:p w14:paraId="0086A41E">
      <w:pPr>
        <w:pStyle w:val="48"/>
        <w:ind w:firstLine="646" w:firstLineChars="202"/>
        <w:rPr>
          <w:rFonts w:ascii="仿宋_GB2312" w:eastAsia="仿宋_GB2312"/>
          <w:kern w:val="2"/>
          <w:sz w:val="32"/>
          <w:szCs w:val="32"/>
        </w:rPr>
      </w:pPr>
      <w:r>
        <w:rPr>
          <w:rFonts w:ascii="仿宋_GB2312" w:eastAsia="仿宋_GB2312"/>
          <w:kern w:val="2"/>
          <w:sz w:val="32"/>
          <w:szCs w:val="32"/>
        </w:rPr>
        <w:t>政务服务地图技术架构包括数据、基础地图服务、系统运维功能、应用服务和扩展服务，以及标准规范和运维保障等支撑体系</w:t>
      </w:r>
      <w:r>
        <w:rPr>
          <w:rFonts w:hint="eastAsia" w:ascii="仿宋_GB2312" w:eastAsia="仿宋_GB2312"/>
          <w:kern w:val="2"/>
          <w:sz w:val="32"/>
          <w:szCs w:val="32"/>
        </w:rPr>
        <w:t>，为政务服务地图具体建设提供技术依据。</w:t>
      </w:r>
    </w:p>
    <w:p w14:paraId="4852CBC5">
      <w:pPr>
        <w:spacing w:line="560" w:lineRule="exact"/>
        <w:ind w:firstLine="640" w:firstLineChars="200"/>
        <w:textAlignment w:val="baseline"/>
        <w:rPr>
          <w:rFonts w:hint="eastAsia" w:ascii="仿宋_GB2312" w:hAnsi="仿宋_GB2312" w:eastAsia="仿宋_GB2312" w:cs="仿宋_GB2312"/>
          <w:sz w:val="32"/>
          <w:szCs w:val="32"/>
        </w:rPr>
      </w:pPr>
      <w:bookmarkStart w:id="62" w:name="_Toc228262017"/>
      <w:r>
        <w:rPr>
          <w:rFonts w:hint="eastAsia" w:ascii="仿宋_GB2312" w:hAnsi="仿宋_GB2312" w:eastAsia="仿宋_GB2312" w:cs="仿宋_GB2312"/>
          <w:sz w:val="32"/>
          <w:szCs w:val="32"/>
        </w:rPr>
        <w:t>7.数据要求</w:t>
      </w:r>
      <w:bookmarkEnd w:id="62"/>
    </w:p>
    <w:p w14:paraId="2B60193D">
      <w:pPr>
        <w:pStyle w:val="48"/>
        <w:ind w:firstLine="646" w:firstLineChars="202"/>
        <w:rPr>
          <w:rFonts w:ascii="仿宋_GB2312" w:eastAsia="仿宋_GB2312"/>
          <w:kern w:val="2"/>
          <w:sz w:val="32"/>
          <w:szCs w:val="32"/>
        </w:rPr>
      </w:pPr>
      <w:r>
        <w:rPr>
          <w:rFonts w:hint="eastAsia" w:ascii="仿宋_GB2312" w:eastAsia="仿宋_GB2312"/>
          <w:kern w:val="2"/>
          <w:sz w:val="32"/>
          <w:szCs w:val="32"/>
        </w:rPr>
        <w:t>围绕数据内容、数据管理两部分展开。数据内容部分规定政务服务地图数据内容应包括但不限于：政务服务场所信息、政务服务事项信息、政务服务场所与事项关联信息、基础地理信息、专题地理信息和系统信息，并具体规定了各项数据的详细内容。数据管理部分规定数据管理包括采集、核验、更新和安全管理等内容，并具体规定了数据采集、数据核验、数据更新、数据安全管理的具体内容。</w:t>
      </w:r>
    </w:p>
    <w:p w14:paraId="20B501D8">
      <w:pPr>
        <w:spacing w:line="560" w:lineRule="exact"/>
        <w:ind w:firstLine="640" w:firstLineChars="200"/>
        <w:textAlignment w:val="baseline"/>
        <w:rPr>
          <w:rFonts w:hint="eastAsia" w:ascii="仿宋_GB2312" w:hAnsi="仿宋_GB2312" w:eastAsia="仿宋_GB2312" w:cs="仿宋_GB2312"/>
          <w:sz w:val="32"/>
          <w:szCs w:val="32"/>
        </w:rPr>
      </w:pPr>
      <w:bookmarkStart w:id="63" w:name="_Toc228262018"/>
      <w:r>
        <w:rPr>
          <w:rFonts w:hint="eastAsia" w:ascii="仿宋_GB2312" w:hAnsi="仿宋_GB2312" w:eastAsia="仿宋_GB2312" w:cs="仿宋_GB2312"/>
          <w:sz w:val="32"/>
          <w:szCs w:val="32"/>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功能要求</w:t>
      </w:r>
      <w:bookmarkEnd w:id="63"/>
    </w:p>
    <w:p w14:paraId="5B147649">
      <w:pPr>
        <w:pStyle w:val="48"/>
        <w:ind w:firstLine="646" w:firstLineChars="202"/>
        <w:rPr>
          <w:rFonts w:ascii="仿宋_GB2312" w:eastAsia="仿宋_GB2312"/>
          <w:kern w:val="2"/>
          <w:sz w:val="32"/>
          <w:szCs w:val="32"/>
        </w:rPr>
      </w:pPr>
      <w:r>
        <w:rPr>
          <w:rFonts w:hint="eastAsia" w:ascii="仿宋_GB2312" w:eastAsia="仿宋_GB2312"/>
          <w:kern w:val="2"/>
          <w:sz w:val="32"/>
          <w:szCs w:val="32"/>
        </w:rPr>
        <w:t>从基础地图服务、系统运维功能、应用服务、扩展服务四方面明确了政务服务地图功能要求。其中，基础地图服务应由内容经过国家审核批准合法有效的互联网地理信息服务平台提供支撑。基础地图服务具体规定了以下内容：地图浏览、空间查询、空间统计、地图标注、服务接口。</w:t>
      </w:r>
      <w:r>
        <w:rPr>
          <w:rFonts w:ascii="仿宋_GB2312" w:eastAsia="仿宋_GB2312"/>
          <w:kern w:val="2"/>
          <w:sz w:val="32"/>
          <w:szCs w:val="32"/>
        </w:rPr>
        <w:t>系统</w:t>
      </w:r>
      <w:r>
        <w:rPr>
          <w:rFonts w:hint="eastAsia" w:ascii="仿宋_GB2312" w:eastAsia="仿宋_GB2312"/>
          <w:kern w:val="2"/>
          <w:sz w:val="32"/>
          <w:szCs w:val="32"/>
        </w:rPr>
        <w:t>运维</w:t>
      </w:r>
      <w:r>
        <w:rPr>
          <w:rFonts w:ascii="仿宋_GB2312" w:eastAsia="仿宋_GB2312"/>
          <w:kern w:val="2"/>
          <w:sz w:val="32"/>
          <w:szCs w:val="32"/>
        </w:rPr>
        <w:t>功能</w:t>
      </w:r>
      <w:r>
        <w:rPr>
          <w:rFonts w:hint="eastAsia" w:ascii="仿宋_GB2312" w:eastAsia="仿宋_GB2312"/>
          <w:kern w:val="2"/>
          <w:sz w:val="32"/>
          <w:szCs w:val="32"/>
        </w:rPr>
        <w:t>部分规定应提供政务服务场所及相关信息管理功能，包括但不限于场所信息维护、部门信息配置、事项关联配置、服务接入配置、统计分析以及系统配置等功能。</w:t>
      </w:r>
      <w:r>
        <w:rPr>
          <w:rFonts w:ascii="仿宋_GB2312" w:eastAsia="仿宋_GB2312"/>
          <w:kern w:val="2"/>
          <w:sz w:val="32"/>
          <w:szCs w:val="32"/>
        </w:rPr>
        <w:t>应用服务</w:t>
      </w:r>
      <w:r>
        <w:rPr>
          <w:rFonts w:hint="eastAsia" w:ascii="仿宋_GB2312" w:eastAsia="仿宋_GB2312"/>
          <w:kern w:val="2"/>
          <w:sz w:val="32"/>
          <w:szCs w:val="32"/>
        </w:rPr>
        <w:t>部分规定</w:t>
      </w:r>
      <w:r>
        <w:rPr>
          <w:rFonts w:ascii="仿宋_GB2312" w:eastAsia="仿宋_GB2312"/>
          <w:kern w:val="2"/>
          <w:sz w:val="32"/>
          <w:szCs w:val="32"/>
        </w:rPr>
        <w:t>政务服务地图通过政务服务网、APP、小程序等向公众提供应用服务，包括但不限于场所定位、详情展示、搜索服务、筛选、智能导航、</w:t>
      </w:r>
      <w:r>
        <w:rPr>
          <w:rFonts w:hint="eastAsia" w:ascii="仿宋_GB2312" w:eastAsia="仿宋_GB2312"/>
          <w:kern w:val="2"/>
          <w:sz w:val="32"/>
          <w:szCs w:val="32"/>
        </w:rPr>
        <w:t>建议意见</w:t>
      </w:r>
      <w:r>
        <w:rPr>
          <w:rFonts w:ascii="仿宋_GB2312" w:eastAsia="仿宋_GB2312"/>
          <w:kern w:val="2"/>
          <w:sz w:val="32"/>
          <w:szCs w:val="32"/>
        </w:rPr>
        <w:t>等功能。扩展服务</w:t>
      </w:r>
      <w:r>
        <w:rPr>
          <w:rFonts w:hint="eastAsia" w:ascii="仿宋_GB2312" w:eastAsia="仿宋_GB2312"/>
          <w:kern w:val="2"/>
          <w:sz w:val="32"/>
          <w:szCs w:val="32"/>
        </w:rPr>
        <w:t>部分规定</w:t>
      </w:r>
      <w:r>
        <w:rPr>
          <w:rFonts w:ascii="仿宋_GB2312" w:eastAsia="仿宋_GB2312"/>
          <w:kern w:val="2"/>
          <w:sz w:val="32"/>
          <w:szCs w:val="32"/>
        </w:rPr>
        <w:t>各地区可根据实际情况提供具有地方特色的扩展服务，包括</w:t>
      </w:r>
      <w:r>
        <w:rPr>
          <w:rFonts w:hint="eastAsia" w:ascii="仿宋_GB2312" w:eastAsia="仿宋_GB2312"/>
          <w:kern w:val="2"/>
          <w:sz w:val="32"/>
          <w:szCs w:val="32"/>
        </w:rPr>
        <w:t>服务引导、办事衔接、特色服务衔接等内容</w:t>
      </w:r>
      <w:r>
        <w:rPr>
          <w:rFonts w:ascii="仿宋_GB2312" w:eastAsia="仿宋_GB2312"/>
          <w:kern w:val="2"/>
          <w:sz w:val="32"/>
          <w:szCs w:val="32"/>
        </w:rPr>
        <w:t>。</w:t>
      </w:r>
    </w:p>
    <w:p w14:paraId="3B0ABEEA">
      <w:pPr>
        <w:spacing w:line="560" w:lineRule="exact"/>
        <w:ind w:firstLine="640" w:firstLineChars="200"/>
        <w:textAlignment w:val="baseline"/>
        <w:rPr>
          <w:rFonts w:hint="eastAsia" w:ascii="仿宋_GB2312" w:hAnsi="仿宋_GB2312" w:eastAsia="仿宋_GB2312" w:cs="仿宋_GB2312"/>
          <w:sz w:val="32"/>
          <w:szCs w:val="32"/>
        </w:rPr>
      </w:pPr>
      <w:bookmarkStart w:id="64" w:name="_Toc228262019"/>
      <w:r>
        <w:rPr>
          <w:rFonts w:hint="eastAsia" w:ascii="仿宋_GB2312" w:hAnsi="仿宋_GB2312" w:eastAsia="仿宋_GB2312" w:cs="仿宋_GB2312"/>
          <w:sz w:val="32"/>
          <w:szCs w:val="32"/>
        </w:rPr>
        <w:t>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接入要求</w:t>
      </w:r>
      <w:bookmarkEnd w:id="64"/>
    </w:p>
    <w:p w14:paraId="264ADC2B">
      <w:pPr>
        <w:pStyle w:val="48"/>
        <w:ind w:firstLine="646" w:firstLineChars="202"/>
        <w:rPr>
          <w:rFonts w:ascii="仿宋_GB2312" w:eastAsia="仿宋_GB2312"/>
          <w:kern w:val="2"/>
          <w:sz w:val="32"/>
          <w:szCs w:val="32"/>
        </w:rPr>
      </w:pPr>
      <w:r>
        <w:rPr>
          <w:rFonts w:hint="eastAsia" w:ascii="仿宋_GB2312" w:eastAsia="仿宋_GB2312"/>
          <w:kern w:val="2"/>
          <w:sz w:val="32"/>
          <w:szCs w:val="32"/>
        </w:rPr>
        <w:t>明确地区平台政务服务地图应接入国家平台政务服务地图，各部门应在国家平台政务服务地图中提供政务服务场所信息。其中，地区接入要求规定国家平台政务服务地图提供页面跳转、页面上架和数据汇聚三种对接方式。各地区可选择合适方式接入。部门接入要求规定国务院部门应在国家平台政务服务地图中提供政务服务场所、政务服务场所公开办理政务服务事项清单，并与事项系统做好关联。应做好相关数据维护和动态更新工作。</w:t>
      </w:r>
    </w:p>
    <w:p w14:paraId="20ED2A33">
      <w:pPr>
        <w:pStyle w:val="48"/>
        <w:ind w:firstLine="646" w:firstLineChars="202"/>
        <w:rPr>
          <w:rFonts w:ascii="仿宋_GB2312" w:eastAsia="仿宋_GB2312"/>
          <w:sz w:val="32"/>
          <w:szCs w:val="32"/>
          <w:highlight w:val="yellow"/>
        </w:rPr>
      </w:pPr>
      <w:r>
        <w:rPr>
          <w:rFonts w:hint="eastAsia" w:ascii="仿宋_GB2312" w:eastAsia="仿宋_GB2312"/>
          <w:kern w:val="2"/>
          <w:sz w:val="32"/>
          <w:szCs w:val="32"/>
        </w:rPr>
        <w:t>10.评价与改进</w:t>
      </w:r>
    </w:p>
    <w:p w14:paraId="4578B26E">
      <w:pPr>
        <w:pStyle w:val="48"/>
        <w:ind w:firstLine="646" w:firstLineChars="202"/>
        <w:rPr>
          <w:rFonts w:ascii="仿宋_GB2312" w:eastAsia="仿宋_GB2312"/>
          <w:kern w:val="2"/>
          <w:sz w:val="32"/>
          <w:szCs w:val="32"/>
        </w:rPr>
      </w:pPr>
      <w:r>
        <w:rPr>
          <w:rFonts w:hint="eastAsia" w:ascii="仿宋_GB2312" w:eastAsia="仿宋_GB2312"/>
          <w:kern w:val="2"/>
          <w:sz w:val="32"/>
          <w:szCs w:val="32"/>
        </w:rPr>
        <w:t>明确政务服务管理机构应做好政务地图运行情况评价，包括但不限于自我评价、用户满意度调查和档案记录查阅等方式。</w:t>
      </w:r>
      <w:r>
        <w:rPr>
          <w:rFonts w:ascii="仿宋_GB2312" w:eastAsia="仿宋_GB2312"/>
          <w:kern w:val="2"/>
          <w:sz w:val="32"/>
          <w:szCs w:val="32"/>
        </w:rPr>
        <w:t>政务服务管理机构应结合群众需求和政务服务地图评价结论，持续完善数据内容，优化地图功能，为服务对象提供更加便捷的查询、指引服务。</w:t>
      </w:r>
    </w:p>
    <w:p w14:paraId="1DDA8B4B">
      <w:pPr>
        <w:pStyle w:val="48"/>
        <w:widowControl w:val="0"/>
        <w:ind w:firstLine="646" w:firstLineChars="202"/>
        <w:rPr>
          <w:rFonts w:ascii="仿宋_GB2312" w:eastAsia="仿宋_GB2312"/>
          <w:kern w:val="2"/>
          <w:sz w:val="32"/>
          <w:szCs w:val="32"/>
        </w:rPr>
      </w:pPr>
      <w:r>
        <w:rPr>
          <w:rFonts w:hint="eastAsia" w:ascii="仿宋_GB2312" w:eastAsia="仿宋_GB2312"/>
          <w:kern w:val="2"/>
          <w:sz w:val="32"/>
          <w:szCs w:val="32"/>
        </w:rPr>
        <w:t>11.附录</w:t>
      </w:r>
    </w:p>
    <w:p w14:paraId="50FEA157">
      <w:pPr>
        <w:pStyle w:val="48"/>
        <w:widowControl w:val="0"/>
        <w:ind w:firstLine="646" w:firstLineChars="202"/>
        <w:rPr>
          <w:rFonts w:ascii="仿宋_GB2312" w:eastAsia="仿宋_GB2312"/>
          <w:kern w:val="2"/>
          <w:sz w:val="32"/>
          <w:szCs w:val="32"/>
        </w:rPr>
      </w:pPr>
      <w:r>
        <w:rPr>
          <w:rFonts w:hint="eastAsia" w:ascii="仿宋_GB2312" w:eastAsia="仿宋_GB2312"/>
          <w:kern w:val="2"/>
          <w:sz w:val="32"/>
          <w:szCs w:val="32"/>
        </w:rPr>
        <w:t>附录A给出了政务服务场所数据内容示例，附录B给出了服务场所与事项关联数据内容示例，附录C给出了页面跳转对接示例。</w:t>
      </w:r>
    </w:p>
    <w:p w14:paraId="4261FFE0">
      <w:pPr>
        <w:pStyle w:val="45"/>
        <w:spacing w:line="590" w:lineRule="exact"/>
        <w:ind w:firstLine="640"/>
        <w:outlineLvl w:val="1"/>
        <w:rPr>
          <w:rFonts w:ascii="仿宋_GB2312" w:eastAsia="仿宋_GB2312"/>
          <w:sz w:val="32"/>
          <w:szCs w:val="32"/>
        </w:rPr>
      </w:pPr>
      <w:bookmarkStart w:id="65" w:name="_Toc228262020"/>
      <w:bookmarkStart w:id="66" w:name="_Toc228262955"/>
      <w:bookmarkStart w:id="67" w:name="_Toc228263013"/>
      <w:r>
        <w:rPr>
          <w:rFonts w:hint="eastAsia" w:ascii="仿宋_GB2312" w:eastAsia="仿宋_GB2312"/>
          <w:sz w:val="32"/>
          <w:szCs w:val="32"/>
        </w:rPr>
        <w:t>（三）标准研制规范文件依据</w:t>
      </w:r>
      <w:bookmarkEnd w:id="65"/>
      <w:bookmarkEnd w:id="66"/>
      <w:bookmarkEnd w:id="67"/>
    </w:p>
    <w:p w14:paraId="58E03825">
      <w:pPr>
        <w:pStyle w:val="48"/>
        <w:spacing w:line="360" w:lineRule="auto"/>
        <w:ind w:firstLine="640"/>
        <w:rPr>
          <w:rFonts w:ascii="仿宋_GB2312" w:eastAsia="仿宋_GB2312"/>
          <w:sz w:val="32"/>
          <w:szCs w:val="32"/>
        </w:rPr>
      </w:pPr>
      <w:r>
        <w:rPr>
          <w:rFonts w:hint="eastAsia" w:ascii="仿宋_GB2312" w:eastAsia="仿宋_GB2312"/>
          <w:sz w:val="32"/>
          <w:szCs w:val="32"/>
        </w:rPr>
        <w:t>本标准的编制过程中主要依据了以下规范性文件：</w:t>
      </w:r>
    </w:p>
    <w:p w14:paraId="15EB9EF2">
      <w:pPr>
        <w:widowControl/>
        <w:spacing w:line="560" w:lineRule="exact"/>
        <w:textAlignment w:val="baseline"/>
        <w:rPr>
          <w:rFonts w:hint="eastAsia" w:ascii="仿宋_GB2312" w:hAnsi="仿宋_GB2312" w:eastAsia="仿宋_GB2312" w:cs="仿宋_GB2312"/>
          <w:b/>
          <w:bCs/>
          <w:sz w:val="32"/>
          <w:szCs w:val="32"/>
        </w:rPr>
      </w:pPr>
      <w:bookmarkStart w:id="68" w:name="_Toc228262021"/>
      <w:r>
        <w:rPr>
          <w:rFonts w:hint="eastAsia" w:ascii="仿宋_GB2312" w:hAnsi="仿宋_GB2312" w:eastAsia="仿宋_GB2312" w:cs="仿宋_GB2312"/>
          <w:b/>
          <w:bCs/>
          <w:sz w:val="32"/>
          <w:szCs w:val="32"/>
        </w:rPr>
        <w:t>1.法律法规文件</w:t>
      </w:r>
    </w:p>
    <w:p w14:paraId="2A891257">
      <w:pPr>
        <w:spacing w:line="590" w:lineRule="exact"/>
        <w:ind w:firstLine="640" w:firstLineChars="200"/>
        <w:rPr>
          <w:rFonts w:ascii="仿宋_GB2312" w:eastAsia="仿宋_GB2312"/>
          <w:sz w:val="32"/>
          <w:szCs w:val="32"/>
        </w:rPr>
      </w:pPr>
      <w:r>
        <w:rPr>
          <w:rFonts w:hint="eastAsia" w:ascii="仿宋_GB2312" w:eastAsia="仿宋_GB2312"/>
          <w:sz w:val="32"/>
          <w:szCs w:val="32"/>
        </w:rPr>
        <w:t>《政务数据共享条例》（国务院令第809号）、《党政机关厉行节约反对浪费条例》（中共中央 国务院2025年修订版）、《中共中央办公厅 国务院办公厅关于整治形式主义为基层减负若干规定》（2025年8月6日）、《中共中央 国务院关于深化养老服务改革发展的意见》（2024年）</w:t>
      </w:r>
      <w:bookmarkEnd w:id="68"/>
      <w:r>
        <w:rPr>
          <w:rFonts w:hint="eastAsia" w:ascii="仿宋_GB2312" w:eastAsia="仿宋_GB2312"/>
          <w:sz w:val="32"/>
          <w:szCs w:val="32"/>
        </w:rPr>
        <w:t>、《中华人民共和国自然资源部2020地理信息公共服务平台管理办法》、《国务院办公厅关于依托全国一体化政务服务平台建立政务服务效能提升常态化工作机制的意见》（国办发〔2023〕29号）、《国务院办公厅关于加强数字政府建设的指导意见》（国办发〔2022〕14号）、《国务院关于加快推进政务服务标准化规范化便利化的指导意见》（</w:t>
      </w:r>
      <w:r>
        <w:rPr>
          <w:rFonts w:ascii="仿宋_GB2312" w:eastAsia="仿宋_GB2312"/>
          <w:sz w:val="32"/>
          <w:szCs w:val="32"/>
        </w:rPr>
        <w:t>国发〔2022〕5号</w:t>
      </w:r>
      <w:r>
        <w:rPr>
          <w:rFonts w:hint="eastAsia" w:ascii="仿宋_GB2312" w:eastAsia="仿宋_GB2312"/>
          <w:sz w:val="32"/>
          <w:szCs w:val="32"/>
        </w:rPr>
        <w:t>）、《国务院办公厅关于进一步优化政务服务提升行政效能推动“高效办成一件事”的指导意见》（国办发〔2024〕5号）及《国务院办公厅关于健全“高效办成一件事”重点事项常态化推进机制的意见》（国办发〔2025〕24号）。</w:t>
      </w:r>
    </w:p>
    <w:p w14:paraId="2ECA641E">
      <w:pPr>
        <w:widowControl/>
        <w:spacing w:line="560" w:lineRule="exact"/>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2.标准文件</w:t>
      </w:r>
    </w:p>
    <w:p w14:paraId="4D9428F4">
      <w:pPr>
        <w:pStyle w:val="48"/>
        <w:spacing w:line="360" w:lineRule="auto"/>
        <w:ind w:firstLine="640"/>
        <w:rPr>
          <w:rFonts w:ascii="仿宋_GB2312" w:eastAsia="仿宋_GB2312"/>
          <w:sz w:val="32"/>
          <w:szCs w:val="32"/>
          <w:highlight w:val="yellow"/>
        </w:rPr>
      </w:pPr>
      <w:r>
        <w:rPr>
          <w:rFonts w:hint="eastAsia" w:ascii="仿宋_GB2312" w:eastAsia="仿宋_GB2312"/>
          <w:kern w:val="2"/>
          <w:sz w:val="32"/>
          <w:szCs w:val="32"/>
        </w:rPr>
        <w:t>《GB/T 2260-2007 中华人民共和国行政区划代码》《GB/T 30318-2013 地理信息公共平台基本规定》《GB/T 39046-2020 政务服务平台基础数据规范》《GB/T 39554.1-2020 全国一体化政务服务平台 政务服务事项基本目录及实施清单 第1部分：编码要求》《GB/T 39554.2-2020 全国一体化政务服务平台 政务服务事项基本目录及实施清单 第2部分：要素要求》《GB/T 40525-2021 地理信息在线共享接口规范》《GB/T 40756-2021 全国一体化政务服务平台线上线下融合工作指南等国家标准》《GB/T 35273-2020 信息安全技术 个人信息安全规范》《GB/T 22081-2024 网络安全技术 信息安全控制》。</w:t>
      </w:r>
    </w:p>
    <w:p w14:paraId="107A194C">
      <w:pPr>
        <w:spacing w:line="590" w:lineRule="exact"/>
        <w:ind w:firstLine="640" w:firstLineChars="200"/>
        <w:rPr>
          <w:rFonts w:hint="eastAsia" w:ascii="仿宋_GB2312" w:hAnsi="仿宋" w:eastAsia="仿宋_GB2312" w:cs="仿宋"/>
          <w:sz w:val="32"/>
          <w:szCs w:val="32"/>
        </w:rPr>
      </w:pPr>
      <w:bookmarkStart w:id="69" w:name="_Toc228263014"/>
      <w:bookmarkStart w:id="70" w:name="_Toc228262956"/>
      <w:bookmarkStart w:id="71" w:name="_Toc228262022"/>
      <w:r>
        <w:rPr>
          <w:rFonts w:hint="eastAsia" w:ascii="仿宋_GB2312" w:hAnsi="仿宋" w:eastAsia="仿宋_GB2312" w:cs="仿宋"/>
          <w:sz w:val="32"/>
          <w:szCs w:val="32"/>
        </w:rPr>
        <w:t>三、试验验证的分析、综述报告，技术经济论证，预期的经济效益、社会效益和生态效益</w:t>
      </w:r>
      <w:bookmarkEnd w:id="69"/>
      <w:bookmarkEnd w:id="70"/>
      <w:bookmarkEnd w:id="71"/>
    </w:p>
    <w:p w14:paraId="372941E4">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（一）试验验证</w:t>
      </w:r>
    </w:p>
    <w:p w14:paraId="44D19408">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本标准在多个省市政务服务平台上，进行了适老化服务建设的验证和分析，分析结果表明标准中给出的事项梳理、适老化服务、适老化通用设计、安全与隐私等内容符合应用实践，并具备一定的引领性。</w:t>
      </w:r>
    </w:p>
    <w:p w14:paraId="3728C655">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（二）预期效益</w:t>
      </w:r>
    </w:p>
    <w:p w14:paraId="324D7309">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在社会效益方面：本标准的制定和实施，可以延伸服务触手，消除办事“盲区”。通过数字化手段，一图汇聚所有政务服务网点、自助终端、办理事项、指南、时间、联系方式等，实现“去哪办、怎么办”一目了然，让企业和群众可以快速定位到最近的办事大厅或服务网点，有效解决“跑错路、问错人”的痛点，“政务服务地图”。</w:t>
      </w:r>
    </w:p>
    <w:p w14:paraId="6042F709">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在经济效益方面：政务服务地图作为地理信息公共服务平台，向社会零成本开放权威地理数据，赋能位置服务、平台经济等数字经济新业态，带动地理信息产业发展。同时，通过整合线下网点、优化窗口配置、推动“一网通办”与“就近办”，大幅减少重复建设与人力投入，有效压缩政府行政成本。</w:t>
      </w:r>
    </w:p>
    <w:p w14:paraId="040BFB26">
      <w:pPr>
        <w:spacing w:line="590" w:lineRule="exact"/>
        <w:ind w:firstLine="640" w:firstLineChars="200"/>
        <w:rPr>
          <w:rFonts w:hint="eastAsia" w:ascii="仿宋_GB2312" w:hAnsi="仿宋" w:eastAsia="仿宋_GB2312" w:cs="仿宋"/>
          <w:sz w:val="32"/>
          <w:szCs w:val="32"/>
        </w:rPr>
      </w:pPr>
      <w:bookmarkStart w:id="72" w:name="_Toc228262023"/>
      <w:bookmarkStart w:id="73" w:name="_Toc228263015"/>
      <w:bookmarkStart w:id="74" w:name="_Toc228262957"/>
      <w:r>
        <w:rPr>
          <w:rFonts w:hint="eastAsia" w:ascii="仿宋_GB2312" w:hAnsi="仿宋" w:eastAsia="仿宋_GB2312" w:cs="仿宋"/>
          <w:sz w:val="32"/>
          <w:szCs w:val="32"/>
        </w:rPr>
        <w:t>四、与国际、国外同类标准技术内容的对比情况，或者与测试的国外样品、样机的有关数据对比情况</w:t>
      </w:r>
      <w:bookmarkEnd w:id="72"/>
      <w:bookmarkEnd w:id="73"/>
      <w:bookmarkEnd w:id="74"/>
    </w:p>
    <w:p w14:paraId="5AAEA357">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未发现与本标准同类的国际、国外同类标准。</w:t>
      </w:r>
    </w:p>
    <w:p w14:paraId="78BD25D5">
      <w:pPr>
        <w:spacing w:line="590" w:lineRule="exact"/>
        <w:ind w:firstLine="640" w:firstLineChars="200"/>
        <w:rPr>
          <w:rFonts w:hint="eastAsia" w:ascii="仿宋_GB2312" w:hAnsi="仿宋" w:eastAsia="仿宋_GB2312" w:cs="仿宋"/>
          <w:sz w:val="32"/>
          <w:szCs w:val="32"/>
        </w:rPr>
      </w:pPr>
      <w:bookmarkStart w:id="75" w:name="_Toc228262958"/>
      <w:bookmarkStart w:id="76" w:name="_Toc228262024"/>
      <w:bookmarkStart w:id="77" w:name="_Toc228263016"/>
      <w:r>
        <w:rPr>
          <w:rFonts w:hint="eastAsia" w:ascii="仿宋_GB2312" w:hAnsi="仿宋" w:eastAsia="仿宋_GB2312" w:cs="仿宋"/>
          <w:sz w:val="32"/>
          <w:szCs w:val="32"/>
        </w:rPr>
        <w:t>五、以国际标准为基础的起草情况，以及是否合规引用或者采用国际国外标准，并说明未采用国际标准的原因</w:t>
      </w:r>
      <w:bookmarkEnd w:id="75"/>
      <w:bookmarkEnd w:id="76"/>
      <w:bookmarkEnd w:id="77"/>
    </w:p>
    <w:p w14:paraId="0B61456F">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无。</w:t>
      </w:r>
    </w:p>
    <w:p w14:paraId="2DB159EA">
      <w:pPr>
        <w:spacing w:line="590" w:lineRule="exact"/>
        <w:ind w:firstLine="640" w:firstLineChars="200"/>
        <w:rPr>
          <w:rFonts w:hint="eastAsia" w:ascii="仿宋_GB2312" w:hAnsi="仿宋" w:eastAsia="仿宋_GB2312" w:cs="仿宋"/>
          <w:sz w:val="32"/>
          <w:szCs w:val="32"/>
        </w:rPr>
      </w:pPr>
      <w:bookmarkStart w:id="78" w:name="_Toc228263017"/>
      <w:bookmarkStart w:id="79" w:name="_Toc228262959"/>
      <w:bookmarkStart w:id="80" w:name="_Toc228262025"/>
      <w:r>
        <w:rPr>
          <w:rFonts w:hint="eastAsia" w:ascii="仿宋_GB2312" w:hAnsi="仿宋" w:eastAsia="仿宋_GB2312" w:cs="仿宋"/>
          <w:sz w:val="32"/>
          <w:szCs w:val="32"/>
        </w:rPr>
        <w:t>六、与有关法律、行政法规及相关标准的关系</w:t>
      </w:r>
      <w:bookmarkEnd w:id="78"/>
      <w:bookmarkEnd w:id="79"/>
      <w:bookmarkEnd w:id="80"/>
    </w:p>
    <w:p w14:paraId="07D32E64">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截至目前，尚未发现本标准与我国有关的现行法律、法规和相关强制性标准相冲突。本标准充分吸收了《国务院办公厅关于依托全国一体化政务服务平台建立政务服务效能提升常态化工作机制的意见》（国办发〔2023〕29号）、《国务院办公厅关于加强数字政府建设的指导意见》（国办发〔2022〕14号）、《国务院关于加快推进政务服务标准化规范化便利化的指导意见》（国发〔2022〕5号）、《国务院办公厅关于进一步优化政务服务提升行政效能推动“高效办成一件事”的指导意见》（国办发〔2024〕5号）及《国务院办公厅关于健全“高效办成一件事”重点事项常态化推进机制的意见》（国办发〔2025〕24号）等文件精神，同时系统设计方面重点参考GB/T 30318-2013《地理信息公共平台基本规定》、GB/T 39046-2020《政务服务平台基础数据规范》、GB/T 40525-2021《地理信息在线共享接口规范》等标准技术内容，保障政务信息与测绘地理信息有效融合。</w:t>
      </w:r>
    </w:p>
    <w:p w14:paraId="4BA777A3">
      <w:pPr>
        <w:spacing w:line="590" w:lineRule="exact"/>
        <w:ind w:firstLine="640" w:firstLineChars="200"/>
        <w:rPr>
          <w:rFonts w:hint="eastAsia" w:ascii="仿宋_GB2312" w:hAnsi="仿宋" w:eastAsia="仿宋_GB2312" w:cs="仿宋"/>
          <w:sz w:val="32"/>
          <w:szCs w:val="32"/>
        </w:rPr>
      </w:pPr>
      <w:bookmarkStart w:id="81" w:name="_Toc228262026"/>
      <w:bookmarkStart w:id="82" w:name="_Toc228263018"/>
      <w:bookmarkStart w:id="83" w:name="_Toc228262960"/>
      <w:r>
        <w:rPr>
          <w:rFonts w:hint="eastAsia" w:ascii="仿宋_GB2312" w:hAnsi="仿宋" w:eastAsia="仿宋_GB2312" w:cs="仿宋"/>
          <w:sz w:val="32"/>
          <w:szCs w:val="32"/>
        </w:rPr>
        <w:t>七、重大分歧意见的处理经过和依据</w:t>
      </w:r>
      <w:bookmarkEnd w:id="81"/>
      <w:bookmarkEnd w:id="82"/>
      <w:bookmarkEnd w:id="83"/>
    </w:p>
    <w:p w14:paraId="72A582BA">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无。</w:t>
      </w:r>
    </w:p>
    <w:p w14:paraId="52950398">
      <w:pPr>
        <w:spacing w:line="590" w:lineRule="exact"/>
        <w:ind w:firstLine="640" w:firstLineChars="200"/>
        <w:rPr>
          <w:rFonts w:hint="eastAsia" w:ascii="仿宋_GB2312" w:hAnsi="仿宋" w:eastAsia="仿宋_GB2312" w:cs="仿宋"/>
          <w:sz w:val="32"/>
          <w:szCs w:val="32"/>
        </w:rPr>
      </w:pPr>
      <w:bookmarkStart w:id="84" w:name="_Toc228263019"/>
      <w:bookmarkStart w:id="85" w:name="_Toc228262027"/>
      <w:bookmarkStart w:id="86" w:name="_Toc228262961"/>
      <w:r>
        <w:rPr>
          <w:rFonts w:hint="eastAsia" w:ascii="仿宋_GB2312" w:hAnsi="仿宋" w:eastAsia="仿宋_GB2312" w:cs="仿宋"/>
          <w:sz w:val="32"/>
          <w:szCs w:val="32"/>
        </w:rPr>
        <w:t>八、涉及专利的有关说明</w:t>
      </w:r>
      <w:bookmarkEnd w:id="84"/>
      <w:bookmarkEnd w:id="85"/>
      <w:bookmarkEnd w:id="86"/>
    </w:p>
    <w:p w14:paraId="39B7B8F5">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本部分不涉及专利和知识产权。</w:t>
      </w:r>
    </w:p>
    <w:p w14:paraId="7F54A5DC">
      <w:pPr>
        <w:spacing w:line="590" w:lineRule="exact"/>
        <w:ind w:firstLine="640" w:firstLineChars="200"/>
        <w:rPr>
          <w:rFonts w:hint="eastAsia" w:ascii="仿宋_GB2312" w:hAnsi="仿宋" w:eastAsia="仿宋_GB2312" w:cs="仿宋"/>
          <w:sz w:val="32"/>
          <w:szCs w:val="32"/>
        </w:rPr>
      </w:pPr>
      <w:bookmarkStart w:id="87" w:name="_Toc228263020"/>
      <w:bookmarkStart w:id="88" w:name="_Toc228262028"/>
      <w:bookmarkStart w:id="89" w:name="_Toc228262962"/>
      <w:r>
        <w:rPr>
          <w:rFonts w:hint="eastAsia" w:ascii="仿宋_GB2312" w:hAnsi="仿宋" w:eastAsia="仿宋_GB2312" w:cs="仿宋"/>
          <w:sz w:val="32"/>
          <w:szCs w:val="32"/>
        </w:rPr>
        <w:t>九、实施国家标准的要求，以及组织措施、技术措施、过渡期和实施日期的建议等措施建议</w:t>
      </w:r>
      <w:bookmarkEnd w:id="87"/>
      <w:bookmarkEnd w:id="88"/>
      <w:bookmarkEnd w:id="89"/>
    </w:p>
    <w:p w14:paraId="6D6BF2DD">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本标准是政务服务平台标准化工作的顶层设计之一，建议在其发布后，在政务服务领域集中开展宣贯活动。通过宣传与培训讲解，使主管部门、服务机构、服务对象广泛理解本标准的内容及其作用。</w:t>
      </w:r>
    </w:p>
    <w:p w14:paraId="583F6791">
      <w:pPr>
        <w:spacing w:line="590" w:lineRule="exact"/>
        <w:ind w:firstLine="640" w:firstLineChars="200"/>
        <w:rPr>
          <w:rFonts w:hint="eastAsia" w:ascii="仿宋_GB2312" w:hAnsi="仿宋" w:eastAsia="仿宋_GB2312" w:cs="仿宋"/>
          <w:sz w:val="32"/>
          <w:szCs w:val="32"/>
        </w:rPr>
      </w:pPr>
      <w:bookmarkStart w:id="90" w:name="_Toc228263021"/>
      <w:bookmarkStart w:id="91" w:name="_Toc228262029"/>
      <w:bookmarkStart w:id="92" w:name="_Toc228262963"/>
      <w:bookmarkStart w:id="93" w:name="OLE_LINK1"/>
      <w:r>
        <w:rPr>
          <w:rFonts w:hint="eastAsia" w:ascii="仿宋_GB2312" w:hAnsi="仿宋" w:eastAsia="仿宋_GB2312" w:cs="仿宋"/>
          <w:sz w:val="32"/>
          <w:szCs w:val="32"/>
        </w:rPr>
        <w:t>十、其它应当说明的事项</w:t>
      </w:r>
      <w:bookmarkEnd w:id="90"/>
      <w:bookmarkEnd w:id="91"/>
      <w:bookmarkEnd w:id="92"/>
    </w:p>
    <w:p w14:paraId="13751A58">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无。</w:t>
      </w:r>
    </w:p>
    <w:bookmarkEnd w:id="93"/>
    <w:p w14:paraId="0E804E54">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标准编制工作组</w:t>
      </w:r>
    </w:p>
    <w:p w14:paraId="6B49B45F">
      <w:pPr>
        <w:spacing w:line="59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 xml:space="preserve">                                   2026-7-27</w:t>
      </w:r>
    </w:p>
    <w:sectPr>
      <w:pgSz w:w="11906" w:h="16838"/>
      <w:pgMar w:top="1440" w:right="1803" w:bottom="1440" w:left="1803" w:header="851" w:footer="992" w:gutter="0"/>
      <w:pgNumType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7990566"/>
    </w:sdtPr>
    <w:sdtContent>
      <w:p w14:paraId="70A54EF1">
        <w:pPr>
          <w:pStyle w:val="11"/>
          <w:jc w:val="center"/>
        </w:pPr>
        <w:r>
          <w:fldChar w:fldCharType="begin"/>
        </w:r>
        <w:r>
          <w:instrText xml:space="preserve">PAGE   \* MERGEFORMAT</w:instrText>
        </w:r>
        <w:r>
          <w:fldChar w:fldCharType="separate"/>
        </w:r>
        <w:r>
          <w:rPr>
            <w:lang w:val="zh-CN"/>
          </w:rPr>
          <w:t>21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917C3"/>
    <w:multiLevelType w:val="multilevel"/>
    <w:tmpl w:val="2C5917C3"/>
    <w:lvl w:ilvl="0" w:tentative="0">
      <w:start w:val="1"/>
      <w:numFmt w:val="none"/>
      <w:pStyle w:val="35"/>
      <w:suff w:val="nothing"/>
      <w:lvlText w:val="%1——"/>
      <w:lvlJc w:val="left"/>
      <w:pPr>
        <w:ind w:left="834" w:hanging="408"/>
      </w:pPr>
      <w:rPr>
        <w:rFonts w:hint="eastAsia"/>
      </w:rPr>
    </w:lvl>
    <w:lvl w:ilvl="1" w:tentative="0">
      <w:start w:val="1"/>
      <w:numFmt w:val="bullet"/>
      <w:pStyle w:val="36"/>
      <w:lvlText w:val=""/>
      <w:lvlJc w:val="left"/>
      <w:pPr>
        <w:tabs>
          <w:tab w:val="left" w:pos="1186"/>
        </w:tabs>
        <w:ind w:left="1690" w:hanging="413"/>
      </w:pPr>
      <w:rPr>
        <w:rFonts w:hint="default" w:ascii="Symbol" w:hAnsi="Symbol"/>
        <w:color w:val="auto"/>
      </w:rPr>
    </w:lvl>
    <w:lvl w:ilvl="2" w:tentative="0">
      <w:start w:val="1"/>
      <w:numFmt w:val="bullet"/>
      <w:pStyle w:val="39"/>
      <w:lvlText w:val=""/>
      <w:lvlJc w:val="left"/>
      <w:pPr>
        <w:tabs>
          <w:tab w:val="left" w:pos="2104"/>
        </w:tabs>
        <w:ind w:left="2104" w:hanging="414"/>
      </w:pPr>
      <w:rPr>
        <w:rFonts w:hint="default" w:ascii="Symbol" w:hAnsi="Symbol"/>
        <w:color w:val="auto"/>
      </w:rPr>
    </w:lvl>
    <w:lvl w:ilvl="3" w:tentative="0">
      <w:start w:val="1"/>
      <w:numFmt w:val="decimal"/>
      <w:lvlText w:val="%4."/>
      <w:lvlJc w:val="left"/>
      <w:pPr>
        <w:tabs>
          <w:tab w:val="left" w:pos="2497"/>
        </w:tabs>
        <w:ind w:left="2310" w:hanging="528"/>
      </w:pPr>
      <w:rPr>
        <w:rFonts w:hint="eastAsia"/>
      </w:rPr>
    </w:lvl>
    <w:lvl w:ilvl="4" w:tentative="0">
      <w:start w:val="1"/>
      <w:numFmt w:val="lowerLetter"/>
      <w:lvlText w:val="%5)"/>
      <w:lvlJc w:val="left"/>
      <w:pPr>
        <w:tabs>
          <w:tab w:val="left" w:pos="2809"/>
        </w:tabs>
        <w:ind w:left="2622" w:hanging="528"/>
      </w:pPr>
      <w:rPr>
        <w:rFonts w:hint="eastAsia"/>
      </w:rPr>
    </w:lvl>
    <w:lvl w:ilvl="5" w:tentative="0">
      <w:start w:val="1"/>
      <w:numFmt w:val="lowerRoman"/>
      <w:lvlText w:val="%6."/>
      <w:lvlJc w:val="right"/>
      <w:pPr>
        <w:tabs>
          <w:tab w:val="left" w:pos="3121"/>
        </w:tabs>
        <w:ind w:left="2934" w:hanging="528"/>
      </w:pPr>
      <w:rPr>
        <w:rFonts w:hint="eastAsia"/>
      </w:rPr>
    </w:lvl>
    <w:lvl w:ilvl="6" w:tentative="0">
      <w:start w:val="1"/>
      <w:numFmt w:val="decimal"/>
      <w:lvlText w:val="%7."/>
      <w:lvlJc w:val="left"/>
      <w:pPr>
        <w:tabs>
          <w:tab w:val="left" w:pos="3433"/>
        </w:tabs>
        <w:ind w:left="3246" w:hanging="528"/>
      </w:pPr>
      <w:rPr>
        <w:rFonts w:hint="eastAsia"/>
      </w:rPr>
    </w:lvl>
    <w:lvl w:ilvl="7" w:tentative="0">
      <w:start w:val="1"/>
      <w:numFmt w:val="lowerLetter"/>
      <w:lvlText w:val="%8)"/>
      <w:lvlJc w:val="left"/>
      <w:pPr>
        <w:tabs>
          <w:tab w:val="left" w:pos="3745"/>
        </w:tabs>
        <w:ind w:left="3558" w:hanging="528"/>
      </w:pPr>
      <w:rPr>
        <w:rFonts w:hint="eastAsia"/>
      </w:rPr>
    </w:lvl>
    <w:lvl w:ilvl="8" w:tentative="0">
      <w:start w:val="1"/>
      <w:numFmt w:val="lowerRoman"/>
      <w:lvlText w:val="%9."/>
      <w:lvlJc w:val="right"/>
      <w:pPr>
        <w:tabs>
          <w:tab w:val="left" w:pos="4057"/>
        </w:tabs>
        <w:ind w:left="3870" w:hanging="528"/>
      </w:pPr>
      <w:rPr>
        <w:rFonts w:hint="eastAsia"/>
      </w:rPr>
    </w:lvl>
  </w:abstractNum>
  <w:abstractNum w:abstractNumId="1">
    <w:nsid w:val="44C50F90"/>
    <w:multiLevelType w:val="multilevel"/>
    <w:tmpl w:val="44C50F90"/>
    <w:lvl w:ilvl="0" w:tentative="0">
      <w:start w:val="1"/>
      <w:numFmt w:val="lowerLetter"/>
      <w:pStyle w:val="38"/>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37"/>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40"/>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
    <w:nsid w:val="557C2AF5"/>
    <w:multiLevelType w:val="multilevel"/>
    <w:tmpl w:val="557C2AF5"/>
    <w:lvl w:ilvl="0" w:tentative="0">
      <w:start w:val="1"/>
      <w:numFmt w:val="decimal"/>
      <w:pStyle w:val="52"/>
      <w:suff w:val="nothing"/>
      <w:lvlText w:val="图%1　"/>
      <w:lvlJc w:val="left"/>
      <w:pPr>
        <w:ind w:left="3119"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5"/>
      <w:suff w:val="nothing"/>
      <w:lvlText w:val="%1%2　"/>
      <w:lvlJc w:val="left"/>
      <w:pPr>
        <w:ind w:left="0" w:firstLine="0"/>
      </w:pPr>
      <w:rPr>
        <w:rFonts w:hint="eastAsia" w:ascii="黑体" w:eastAsia="黑体"/>
        <w:b w:val="0"/>
        <w:i w:val="0"/>
        <w:sz w:val="21"/>
      </w:rPr>
    </w:lvl>
    <w:lvl w:ilvl="2" w:tentative="0">
      <w:start w:val="1"/>
      <w:numFmt w:val="decimal"/>
      <w:pStyle w:val="5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57"/>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79"/>
    <w:rsid w:val="0000539B"/>
    <w:rsid w:val="00005BDB"/>
    <w:rsid w:val="00006AB8"/>
    <w:rsid w:val="0001240F"/>
    <w:rsid w:val="000130D0"/>
    <w:rsid w:val="00013451"/>
    <w:rsid w:val="00014C78"/>
    <w:rsid w:val="00015D44"/>
    <w:rsid w:val="00017AF4"/>
    <w:rsid w:val="00021CDB"/>
    <w:rsid w:val="000229F6"/>
    <w:rsid w:val="00030DDF"/>
    <w:rsid w:val="00030F82"/>
    <w:rsid w:val="0003232F"/>
    <w:rsid w:val="00033FD5"/>
    <w:rsid w:val="00034105"/>
    <w:rsid w:val="000423A6"/>
    <w:rsid w:val="00042ACA"/>
    <w:rsid w:val="0004533E"/>
    <w:rsid w:val="00045C50"/>
    <w:rsid w:val="00046D9D"/>
    <w:rsid w:val="00047701"/>
    <w:rsid w:val="000509A6"/>
    <w:rsid w:val="00050F74"/>
    <w:rsid w:val="00050FDC"/>
    <w:rsid w:val="00051FA4"/>
    <w:rsid w:val="0005389E"/>
    <w:rsid w:val="000554B3"/>
    <w:rsid w:val="000624F6"/>
    <w:rsid w:val="00066127"/>
    <w:rsid w:val="00070489"/>
    <w:rsid w:val="000719AF"/>
    <w:rsid w:val="00072080"/>
    <w:rsid w:val="00072DF7"/>
    <w:rsid w:val="000738B8"/>
    <w:rsid w:val="00076C55"/>
    <w:rsid w:val="000813E4"/>
    <w:rsid w:val="0008283B"/>
    <w:rsid w:val="00083BEE"/>
    <w:rsid w:val="000850C7"/>
    <w:rsid w:val="00085493"/>
    <w:rsid w:val="0008580D"/>
    <w:rsid w:val="00085C36"/>
    <w:rsid w:val="00087545"/>
    <w:rsid w:val="000902BD"/>
    <w:rsid w:val="00090D34"/>
    <w:rsid w:val="000916E9"/>
    <w:rsid w:val="00092D1B"/>
    <w:rsid w:val="000950FE"/>
    <w:rsid w:val="000A0B0C"/>
    <w:rsid w:val="000A2C27"/>
    <w:rsid w:val="000B05C0"/>
    <w:rsid w:val="000B31AA"/>
    <w:rsid w:val="000B4A19"/>
    <w:rsid w:val="000B4F6C"/>
    <w:rsid w:val="000B51B5"/>
    <w:rsid w:val="000B5AEC"/>
    <w:rsid w:val="000B775D"/>
    <w:rsid w:val="000C3541"/>
    <w:rsid w:val="000C3F3D"/>
    <w:rsid w:val="000C5E59"/>
    <w:rsid w:val="000D5511"/>
    <w:rsid w:val="000E2314"/>
    <w:rsid w:val="000E74FC"/>
    <w:rsid w:val="000E7E9A"/>
    <w:rsid w:val="000F04F0"/>
    <w:rsid w:val="000F1AD5"/>
    <w:rsid w:val="000F4011"/>
    <w:rsid w:val="000F4244"/>
    <w:rsid w:val="000F52F3"/>
    <w:rsid w:val="0010121A"/>
    <w:rsid w:val="001012F1"/>
    <w:rsid w:val="00102768"/>
    <w:rsid w:val="00102F9C"/>
    <w:rsid w:val="0010594A"/>
    <w:rsid w:val="00107DE7"/>
    <w:rsid w:val="00112519"/>
    <w:rsid w:val="00113CAC"/>
    <w:rsid w:val="00113D60"/>
    <w:rsid w:val="00116125"/>
    <w:rsid w:val="00116615"/>
    <w:rsid w:val="00117DC4"/>
    <w:rsid w:val="00126092"/>
    <w:rsid w:val="00126A97"/>
    <w:rsid w:val="00131067"/>
    <w:rsid w:val="0013124B"/>
    <w:rsid w:val="00131A0C"/>
    <w:rsid w:val="00131CE1"/>
    <w:rsid w:val="0013243E"/>
    <w:rsid w:val="001332D8"/>
    <w:rsid w:val="00133C7F"/>
    <w:rsid w:val="001340C1"/>
    <w:rsid w:val="00134802"/>
    <w:rsid w:val="00134D9F"/>
    <w:rsid w:val="001372C1"/>
    <w:rsid w:val="001377CB"/>
    <w:rsid w:val="00141A9F"/>
    <w:rsid w:val="001427EE"/>
    <w:rsid w:val="0014430A"/>
    <w:rsid w:val="00150717"/>
    <w:rsid w:val="001515AF"/>
    <w:rsid w:val="001535B9"/>
    <w:rsid w:val="001544D0"/>
    <w:rsid w:val="0015479D"/>
    <w:rsid w:val="00154B5A"/>
    <w:rsid w:val="00154E20"/>
    <w:rsid w:val="001606D0"/>
    <w:rsid w:val="0016272E"/>
    <w:rsid w:val="00165CB5"/>
    <w:rsid w:val="00165DFC"/>
    <w:rsid w:val="001670D4"/>
    <w:rsid w:val="001714D3"/>
    <w:rsid w:val="00172262"/>
    <w:rsid w:val="00174A1B"/>
    <w:rsid w:val="00175652"/>
    <w:rsid w:val="001810B4"/>
    <w:rsid w:val="001817B7"/>
    <w:rsid w:val="00181ECF"/>
    <w:rsid w:val="00185495"/>
    <w:rsid w:val="001867BB"/>
    <w:rsid w:val="001933C1"/>
    <w:rsid w:val="001941CD"/>
    <w:rsid w:val="0019798F"/>
    <w:rsid w:val="001A2712"/>
    <w:rsid w:val="001A578C"/>
    <w:rsid w:val="001A5977"/>
    <w:rsid w:val="001A62CB"/>
    <w:rsid w:val="001A6F6E"/>
    <w:rsid w:val="001B1FDC"/>
    <w:rsid w:val="001B26A1"/>
    <w:rsid w:val="001B5CA2"/>
    <w:rsid w:val="001C09F2"/>
    <w:rsid w:val="001C13D6"/>
    <w:rsid w:val="001C3BE4"/>
    <w:rsid w:val="001C6312"/>
    <w:rsid w:val="001D4820"/>
    <w:rsid w:val="001D5FAA"/>
    <w:rsid w:val="001D6C48"/>
    <w:rsid w:val="001E0004"/>
    <w:rsid w:val="001E2C03"/>
    <w:rsid w:val="001E3B7D"/>
    <w:rsid w:val="001E3FEC"/>
    <w:rsid w:val="001E53D0"/>
    <w:rsid w:val="001E5533"/>
    <w:rsid w:val="001E5A5D"/>
    <w:rsid w:val="001E7F90"/>
    <w:rsid w:val="001F1A80"/>
    <w:rsid w:val="001F233A"/>
    <w:rsid w:val="001F2FA9"/>
    <w:rsid w:val="001F324D"/>
    <w:rsid w:val="001F38BB"/>
    <w:rsid w:val="001F4E20"/>
    <w:rsid w:val="001F6432"/>
    <w:rsid w:val="001F6D27"/>
    <w:rsid w:val="0020141E"/>
    <w:rsid w:val="002022F3"/>
    <w:rsid w:val="002039D5"/>
    <w:rsid w:val="002109CD"/>
    <w:rsid w:val="00211EBD"/>
    <w:rsid w:val="002167F4"/>
    <w:rsid w:val="0022004F"/>
    <w:rsid w:val="00222A0E"/>
    <w:rsid w:val="00224CC9"/>
    <w:rsid w:val="002274F8"/>
    <w:rsid w:val="002317AC"/>
    <w:rsid w:val="00232A2A"/>
    <w:rsid w:val="002334C3"/>
    <w:rsid w:val="00234F9A"/>
    <w:rsid w:val="00236E09"/>
    <w:rsid w:val="00243020"/>
    <w:rsid w:val="002455EA"/>
    <w:rsid w:val="00245893"/>
    <w:rsid w:val="00247D20"/>
    <w:rsid w:val="00250EFA"/>
    <w:rsid w:val="002520F8"/>
    <w:rsid w:val="00255EBD"/>
    <w:rsid w:val="002563BD"/>
    <w:rsid w:val="0026057F"/>
    <w:rsid w:val="00262B7E"/>
    <w:rsid w:val="00263928"/>
    <w:rsid w:val="00264638"/>
    <w:rsid w:val="00264702"/>
    <w:rsid w:val="00265C05"/>
    <w:rsid w:val="002753DB"/>
    <w:rsid w:val="00277411"/>
    <w:rsid w:val="00277A7C"/>
    <w:rsid w:val="0028134E"/>
    <w:rsid w:val="002873BF"/>
    <w:rsid w:val="002906BD"/>
    <w:rsid w:val="00291CE7"/>
    <w:rsid w:val="00294BCC"/>
    <w:rsid w:val="002A0738"/>
    <w:rsid w:val="002A1DFC"/>
    <w:rsid w:val="002A2FB3"/>
    <w:rsid w:val="002A44C2"/>
    <w:rsid w:val="002A60B5"/>
    <w:rsid w:val="002A76BA"/>
    <w:rsid w:val="002A7926"/>
    <w:rsid w:val="002B0FA2"/>
    <w:rsid w:val="002B26B1"/>
    <w:rsid w:val="002B4048"/>
    <w:rsid w:val="002B499C"/>
    <w:rsid w:val="002B4D42"/>
    <w:rsid w:val="002B68FA"/>
    <w:rsid w:val="002B7922"/>
    <w:rsid w:val="002C3087"/>
    <w:rsid w:val="002C47B2"/>
    <w:rsid w:val="002C5BD4"/>
    <w:rsid w:val="002C5D00"/>
    <w:rsid w:val="002C60E6"/>
    <w:rsid w:val="002C677B"/>
    <w:rsid w:val="002D0093"/>
    <w:rsid w:val="002D3967"/>
    <w:rsid w:val="002D3D9F"/>
    <w:rsid w:val="002D5E8A"/>
    <w:rsid w:val="002D5F26"/>
    <w:rsid w:val="002D797B"/>
    <w:rsid w:val="002D7AE9"/>
    <w:rsid w:val="002E1E42"/>
    <w:rsid w:val="002E3517"/>
    <w:rsid w:val="002E38C0"/>
    <w:rsid w:val="002E3D9E"/>
    <w:rsid w:val="002E6188"/>
    <w:rsid w:val="002E7550"/>
    <w:rsid w:val="002F0E81"/>
    <w:rsid w:val="002F69DF"/>
    <w:rsid w:val="002F7E73"/>
    <w:rsid w:val="00300D68"/>
    <w:rsid w:val="003013FB"/>
    <w:rsid w:val="003046A8"/>
    <w:rsid w:val="0030529A"/>
    <w:rsid w:val="003100E8"/>
    <w:rsid w:val="003127A5"/>
    <w:rsid w:val="0031295E"/>
    <w:rsid w:val="00313848"/>
    <w:rsid w:val="003151EA"/>
    <w:rsid w:val="00315772"/>
    <w:rsid w:val="00315BB6"/>
    <w:rsid w:val="00315E68"/>
    <w:rsid w:val="003304AB"/>
    <w:rsid w:val="00331B57"/>
    <w:rsid w:val="003339D6"/>
    <w:rsid w:val="00333A95"/>
    <w:rsid w:val="00333CDF"/>
    <w:rsid w:val="003343E0"/>
    <w:rsid w:val="003343FE"/>
    <w:rsid w:val="00337F56"/>
    <w:rsid w:val="00343EDC"/>
    <w:rsid w:val="003451B6"/>
    <w:rsid w:val="003455F8"/>
    <w:rsid w:val="00350FA8"/>
    <w:rsid w:val="00354AA4"/>
    <w:rsid w:val="003562BB"/>
    <w:rsid w:val="003578CB"/>
    <w:rsid w:val="0036104C"/>
    <w:rsid w:val="00362376"/>
    <w:rsid w:val="00363150"/>
    <w:rsid w:val="0036462C"/>
    <w:rsid w:val="00365458"/>
    <w:rsid w:val="00365B9F"/>
    <w:rsid w:val="003700AC"/>
    <w:rsid w:val="003755DE"/>
    <w:rsid w:val="003779FC"/>
    <w:rsid w:val="003812BA"/>
    <w:rsid w:val="00382A9A"/>
    <w:rsid w:val="00383314"/>
    <w:rsid w:val="00383342"/>
    <w:rsid w:val="00385D83"/>
    <w:rsid w:val="0039093C"/>
    <w:rsid w:val="00393812"/>
    <w:rsid w:val="00395059"/>
    <w:rsid w:val="0039507C"/>
    <w:rsid w:val="003969D5"/>
    <w:rsid w:val="003971C2"/>
    <w:rsid w:val="003A0E8A"/>
    <w:rsid w:val="003A28E0"/>
    <w:rsid w:val="003A345D"/>
    <w:rsid w:val="003A4996"/>
    <w:rsid w:val="003A648F"/>
    <w:rsid w:val="003B2CCB"/>
    <w:rsid w:val="003B340C"/>
    <w:rsid w:val="003B7072"/>
    <w:rsid w:val="003B7528"/>
    <w:rsid w:val="003C03BE"/>
    <w:rsid w:val="003C18B7"/>
    <w:rsid w:val="003C1D43"/>
    <w:rsid w:val="003C417F"/>
    <w:rsid w:val="003C6B62"/>
    <w:rsid w:val="003D0EC5"/>
    <w:rsid w:val="003D4AD9"/>
    <w:rsid w:val="003D4B2B"/>
    <w:rsid w:val="003D4BE6"/>
    <w:rsid w:val="003D5CA9"/>
    <w:rsid w:val="003E0533"/>
    <w:rsid w:val="003E0B46"/>
    <w:rsid w:val="003E33F5"/>
    <w:rsid w:val="003E3A32"/>
    <w:rsid w:val="003E41AC"/>
    <w:rsid w:val="003E5975"/>
    <w:rsid w:val="003E70B0"/>
    <w:rsid w:val="003F1863"/>
    <w:rsid w:val="003F2FBD"/>
    <w:rsid w:val="003F467B"/>
    <w:rsid w:val="003F7F5D"/>
    <w:rsid w:val="00400D3C"/>
    <w:rsid w:val="00401164"/>
    <w:rsid w:val="00402806"/>
    <w:rsid w:val="0040348F"/>
    <w:rsid w:val="00404DB8"/>
    <w:rsid w:val="00410917"/>
    <w:rsid w:val="00411F83"/>
    <w:rsid w:val="00412DF8"/>
    <w:rsid w:val="0041343F"/>
    <w:rsid w:val="00414A78"/>
    <w:rsid w:val="00416D64"/>
    <w:rsid w:val="00416E76"/>
    <w:rsid w:val="0041714C"/>
    <w:rsid w:val="00417BD9"/>
    <w:rsid w:val="00423509"/>
    <w:rsid w:val="00424C5D"/>
    <w:rsid w:val="00425664"/>
    <w:rsid w:val="00430883"/>
    <w:rsid w:val="00435FA8"/>
    <w:rsid w:val="00436517"/>
    <w:rsid w:val="00444475"/>
    <w:rsid w:val="00445D16"/>
    <w:rsid w:val="00447287"/>
    <w:rsid w:val="00450B92"/>
    <w:rsid w:val="00452B5A"/>
    <w:rsid w:val="00453719"/>
    <w:rsid w:val="00455D14"/>
    <w:rsid w:val="0046109C"/>
    <w:rsid w:val="00461998"/>
    <w:rsid w:val="00464346"/>
    <w:rsid w:val="0046520B"/>
    <w:rsid w:val="004662AC"/>
    <w:rsid w:val="00467C25"/>
    <w:rsid w:val="00473704"/>
    <w:rsid w:val="00477399"/>
    <w:rsid w:val="0048090C"/>
    <w:rsid w:val="00481399"/>
    <w:rsid w:val="00483935"/>
    <w:rsid w:val="0048529E"/>
    <w:rsid w:val="00486CF6"/>
    <w:rsid w:val="00491270"/>
    <w:rsid w:val="004979D5"/>
    <w:rsid w:val="004A1476"/>
    <w:rsid w:val="004A3F8E"/>
    <w:rsid w:val="004A4711"/>
    <w:rsid w:val="004A57F9"/>
    <w:rsid w:val="004A5BB3"/>
    <w:rsid w:val="004A7CA5"/>
    <w:rsid w:val="004A7DDE"/>
    <w:rsid w:val="004B2094"/>
    <w:rsid w:val="004B2C2E"/>
    <w:rsid w:val="004B3AC1"/>
    <w:rsid w:val="004B7D81"/>
    <w:rsid w:val="004C10EE"/>
    <w:rsid w:val="004C5DDC"/>
    <w:rsid w:val="004C7B9A"/>
    <w:rsid w:val="004D071E"/>
    <w:rsid w:val="004D10D2"/>
    <w:rsid w:val="004D149C"/>
    <w:rsid w:val="004D3908"/>
    <w:rsid w:val="004D48BB"/>
    <w:rsid w:val="004D4E8C"/>
    <w:rsid w:val="004D574B"/>
    <w:rsid w:val="004D6E31"/>
    <w:rsid w:val="004E0126"/>
    <w:rsid w:val="004F1332"/>
    <w:rsid w:val="004F1F51"/>
    <w:rsid w:val="004F291D"/>
    <w:rsid w:val="004F4BF8"/>
    <w:rsid w:val="004F75D2"/>
    <w:rsid w:val="0050192E"/>
    <w:rsid w:val="00501B9F"/>
    <w:rsid w:val="00502830"/>
    <w:rsid w:val="0050645E"/>
    <w:rsid w:val="00507B38"/>
    <w:rsid w:val="005107C2"/>
    <w:rsid w:val="00510EE1"/>
    <w:rsid w:val="00510F2C"/>
    <w:rsid w:val="005172C9"/>
    <w:rsid w:val="0052034E"/>
    <w:rsid w:val="005213F2"/>
    <w:rsid w:val="0053148E"/>
    <w:rsid w:val="00532742"/>
    <w:rsid w:val="005327B8"/>
    <w:rsid w:val="0053550F"/>
    <w:rsid w:val="00540940"/>
    <w:rsid w:val="00540BC5"/>
    <w:rsid w:val="00541335"/>
    <w:rsid w:val="00543B4B"/>
    <w:rsid w:val="0054648F"/>
    <w:rsid w:val="00546EAA"/>
    <w:rsid w:val="00551342"/>
    <w:rsid w:val="005522CA"/>
    <w:rsid w:val="00554D2E"/>
    <w:rsid w:val="00554DCE"/>
    <w:rsid w:val="0055723C"/>
    <w:rsid w:val="0055765F"/>
    <w:rsid w:val="00560153"/>
    <w:rsid w:val="005615D3"/>
    <w:rsid w:val="005617DD"/>
    <w:rsid w:val="00561952"/>
    <w:rsid w:val="00564191"/>
    <w:rsid w:val="005641E7"/>
    <w:rsid w:val="005652D6"/>
    <w:rsid w:val="0056599D"/>
    <w:rsid w:val="00567C09"/>
    <w:rsid w:val="00570275"/>
    <w:rsid w:val="00570A9A"/>
    <w:rsid w:val="005849E7"/>
    <w:rsid w:val="00585754"/>
    <w:rsid w:val="005877F3"/>
    <w:rsid w:val="00590C6D"/>
    <w:rsid w:val="00591663"/>
    <w:rsid w:val="005919EB"/>
    <w:rsid w:val="00593A27"/>
    <w:rsid w:val="005942B3"/>
    <w:rsid w:val="00594AEA"/>
    <w:rsid w:val="00595549"/>
    <w:rsid w:val="00595644"/>
    <w:rsid w:val="00596674"/>
    <w:rsid w:val="00597207"/>
    <w:rsid w:val="005A37E7"/>
    <w:rsid w:val="005A4AEC"/>
    <w:rsid w:val="005A4D53"/>
    <w:rsid w:val="005A5B00"/>
    <w:rsid w:val="005B3065"/>
    <w:rsid w:val="005B458D"/>
    <w:rsid w:val="005B50B1"/>
    <w:rsid w:val="005B561F"/>
    <w:rsid w:val="005B5AB6"/>
    <w:rsid w:val="005B6BDC"/>
    <w:rsid w:val="005B6DC8"/>
    <w:rsid w:val="005C09F4"/>
    <w:rsid w:val="005C6181"/>
    <w:rsid w:val="005C66B4"/>
    <w:rsid w:val="005D063B"/>
    <w:rsid w:val="005D25A6"/>
    <w:rsid w:val="005D5D44"/>
    <w:rsid w:val="005D64DB"/>
    <w:rsid w:val="005E50DB"/>
    <w:rsid w:val="005E757E"/>
    <w:rsid w:val="005E7BF6"/>
    <w:rsid w:val="005E7FB4"/>
    <w:rsid w:val="005F0208"/>
    <w:rsid w:val="005F079F"/>
    <w:rsid w:val="005F0EEC"/>
    <w:rsid w:val="005F2AD1"/>
    <w:rsid w:val="005F36EC"/>
    <w:rsid w:val="005F6B83"/>
    <w:rsid w:val="005F7F6C"/>
    <w:rsid w:val="00601B2C"/>
    <w:rsid w:val="006106BA"/>
    <w:rsid w:val="00616F46"/>
    <w:rsid w:val="006172E0"/>
    <w:rsid w:val="00617F18"/>
    <w:rsid w:val="006203CB"/>
    <w:rsid w:val="00620D0D"/>
    <w:rsid w:val="00621600"/>
    <w:rsid w:val="00621804"/>
    <w:rsid w:val="00624382"/>
    <w:rsid w:val="006249FF"/>
    <w:rsid w:val="006303FD"/>
    <w:rsid w:val="006327E3"/>
    <w:rsid w:val="00634F1B"/>
    <w:rsid w:val="0063666C"/>
    <w:rsid w:val="006366F8"/>
    <w:rsid w:val="006417D0"/>
    <w:rsid w:val="00642C0A"/>
    <w:rsid w:val="00643BCA"/>
    <w:rsid w:val="00647867"/>
    <w:rsid w:val="006524ED"/>
    <w:rsid w:val="006536C4"/>
    <w:rsid w:val="00656783"/>
    <w:rsid w:val="0066025A"/>
    <w:rsid w:val="00662433"/>
    <w:rsid w:val="00664DB4"/>
    <w:rsid w:val="006705A0"/>
    <w:rsid w:val="00671ED1"/>
    <w:rsid w:val="00673B78"/>
    <w:rsid w:val="00676ACC"/>
    <w:rsid w:val="00677655"/>
    <w:rsid w:val="00682887"/>
    <w:rsid w:val="00684D86"/>
    <w:rsid w:val="00685557"/>
    <w:rsid w:val="006856D9"/>
    <w:rsid w:val="00686048"/>
    <w:rsid w:val="006864F8"/>
    <w:rsid w:val="006868B1"/>
    <w:rsid w:val="006877F0"/>
    <w:rsid w:val="00690310"/>
    <w:rsid w:val="00691B58"/>
    <w:rsid w:val="00692376"/>
    <w:rsid w:val="00695756"/>
    <w:rsid w:val="00696147"/>
    <w:rsid w:val="006A00DB"/>
    <w:rsid w:val="006A23FC"/>
    <w:rsid w:val="006A3755"/>
    <w:rsid w:val="006A4C75"/>
    <w:rsid w:val="006A59CD"/>
    <w:rsid w:val="006A5CD4"/>
    <w:rsid w:val="006A6003"/>
    <w:rsid w:val="006B0476"/>
    <w:rsid w:val="006B0E81"/>
    <w:rsid w:val="006B1268"/>
    <w:rsid w:val="006B2EBA"/>
    <w:rsid w:val="006B515B"/>
    <w:rsid w:val="006B5D4C"/>
    <w:rsid w:val="006C1B7A"/>
    <w:rsid w:val="006C1EDB"/>
    <w:rsid w:val="006C42EF"/>
    <w:rsid w:val="006C5592"/>
    <w:rsid w:val="006C6552"/>
    <w:rsid w:val="006C67DB"/>
    <w:rsid w:val="006C6FAE"/>
    <w:rsid w:val="006D3C93"/>
    <w:rsid w:val="006D4187"/>
    <w:rsid w:val="006D605B"/>
    <w:rsid w:val="006D7A62"/>
    <w:rsid w:val="006E0069"/>
    <w:rsid w:val="006E01EA"/>
    <w:rsid w:val="006E0401"/>
    <w:rsid w:val="006E18AC"/>
    <w:rsid w:val="006E63E7"/>
    <w:rsid w:val="006E7EDB"/>
    <w:rsid w:val="006F64A2"/>
    <w:rsid w:val="006F7BCA"/>
    <w:rsid w:val="00701F8E"/>
    <w:rsid w:val="00702554"/>
    <w:rsid w:val="0070593A"/>
    <w:rsid w:val="00705E8E"/>
    <w:rsid w:val="0071014E"/>
    <w:rsid w:val="00730FD2"/>
    <w:rsid w:val="00732E0E"/>
    <w:rsid w:val="00735DC2"/>
    <w:rsid w:val="00741490"/>
    <w:rsid w:val="00741969"/>
    <w:rsid w:val="00742597"/>
    <w:rsid w:val="0074617B"/>
    <w:rsid w:val="0074652B"/>
    <w:rsid w:val="00746E7D"/>
    <w:rsid w:val="00746FFF"/>
    <w:rsid w:val="00751262"/>
    <w:rsid w:val="00751906"/>
    <w:rsid w:val="00751A2C"/>
    <w:rsid w:val="00751C24"/>
    <w:rsid w:val="00753849"/>
    <w:rsid w:val="00755416"/>
    <w:rsid w:val="007623E5"/>
    <w:rsid w:val="007628B0"/>
    <w:rsid w:val="0076442A"/>
    <w:rsid w:val="00765218"/>
    <w:rsid w:val="007704A9"/>
    <w:rsid w:val="00774CA0"/>
    <w:rsid w:val="00775E6D"/>
    <w:rsid w:val="007776FC"/>
    <w:rsid w:val="007804E6"/>
    <w:rsid w:val="00781FDC"/>
    <w:rsid w:val="00782A60"/>
    <w:rsid w:val="00785579"/>
    <w:rsid w:val="00785689"/>
    <w:rsid w:val="00793554"/>
    <w:rsid w:val="0079416B"/>
    <w:rsid w:val="00794D79"/>
    <w:rsid w:val="00797265"/>
    <w:rsid w:val="0079741F"/>
    <w:rsid w:val="007A02CC"/>
    <w:rsid w:val="007A2A7E"/>
    <w:rsid w:val="007A4DC3"/>
    <w:rsid w:val="007A765F"/>
    <w:rsid w:val="007B055E"/>
    <w:rsid w:val="007B2645"/>
    <w:rsid w:val="007B3062"/>
    <w:rsid w:val="007B6652"/>
    <w:rsid w:val="007B7BB2"/>
    <w:rsid w:val="007C0298"/>
    <w:rsid w:val="007C1712"/>
    <w:rsid w:val="007C1AA2"/>
    <w:rsid w:val="007C22FB"/>
    <w:rsid w:val="007C2F10"/>
    <w:rsid w:val="007C7B41"/>
    <w:rsid w:val="007D0AB7"/>
    <w:rsid w:val="007D0CD3"/>
    <w:rsid w:val="007D23AC"/>
    <w:rsid w:val="007D268E"/>
    <w:rsid w:val="007D49E4"/>
    <w:rsid w:val="007D7D56"/>
    <w:rsid w:val="007E1EEF"/>
    <w:rsid w:val="007E35C4"/>
    <w:rsid w:val="007E40ED"/>
    <w:rsid w:val="007E5021"/>
    <w:rsid w:val="007E55B0"/>
    <w:rsid w:val="007E7151"/>
    <w:rsid w:val="007F078B"/>
    <w:rsid w:val="007F629F"/>
    <w:rsid w:val="007F6B3B"/>
    <w:rsid w:val="007F7A3A"/>
    <w:rsid w:val="00805599"/>
    <w:rsid w:val="00806BB0"/>
    <w:rsid w:val="00806F33"/>
    <w:rsid w:val="008076C2"/>
    <w:rsid w:val="00810565"/>
    <w:rsid w:val="008108AC"/>
    <w:rsid w:val="008115FA"/>
    <w:rsid w:val="00811845"/>
    <w:rsid w:val="00827A65"/>
    <w:rsid w:val="008304B7"/>
    <w:rsid w:val="0083053D"/>
    <w:rsid w:val="00832E5B"/>
    <w:rsid w:val="00835EB0"/>
    <w:rsid w:val="00836E37"/>
    <w:rsid w:val="00837701"/>
    <w:rsid w:val="00837EB7"/>
    <w:rsid w:val="008418DB"/>
    <w:rsid w:val="0084275B"/>
    <w:rsid w:val="00843F2E"/>
    <w:rsid w:val="00845306"/>
    <w:rsid w:val="008475CA"/>
    <w:rsid w:val="00854A9E"/>
    <w:rsid w:val="00856187"/>
    <w:rsid w:val="0087293E"/>
    <w:rsid w:val="00875425"/>
    <w:rsid w:val="00875C1F"/>
    <w:rsid w:val="00875DC7"/>
    <w:rsid w:val="0087697B"/>
    <w:rsid w:val="00881101"/>
    <w:rsid w:val="0088113F"/>
    <w:rsid w:val="008826D2"/>
    <w:rsid w:val="00883BFC"/>
    <w:rsid w:val="00883F6C"/>
    <w:rsid w:val="00884BD6"/>
    <w:rsid w:val="00885DA3"/>
    <w:rsid w:val="008874BC"/>
    <w:rsid w:val="00893A85"/>
    <w:rsid w:val="00894585"/>
    <w:rsid w:val="008965DE"/>
    <w:rsid w:val="008A0405"/>
    <w:rsid w:val="008A5A44"/>
    <w:rsid w:val="008A5EED"/>
    <w:rsid w:val="008A630F"/>
    <w:rsid w:val="008B114D"/>
    <w:rsid w:val="008B1B81"/>
    <w:rsid w:val="008B1D87"/>
    <w:rsid w:val="008B2F83"/>
    <w:rsid w:val="008B4ED4"/>
    <w:rsid w:val="008C1431"/>
    <w:rsid w:val="008C1CCE"/>
    <w:rsid w:val="008C4EBB"/>
    <w:rsid w:val="008C6886"/>
    <w:rsid w:val="008C6F96"/>
    <w:rsid w:val="008C7B71"/>
    <w:rsid w:val="008C7C84"/>
    <w:rsid w:val="008D1CC5"/>
    <w:rsid w:val="008D2A9C"/>
    <w:rsid w:val="008D49B6"/>
    <w:rsid w:val="008D4A77"/>
    <w:rsid w:val="008D502B"/>
    <w:rsid w:val="008D52CF"/>
    <w:rsid w:val="008E5EF5"/>
    <w:rsid w:val="008F12C9"/>
    <w:rsid w:val="008F1EC5"/>
    <w:rsid w:val="008F2D80"/>
    <w:rsid w:val="008F47E9"/>
    <w:rsid w:val="008F497B"/>
    <w:rsid w:val="008F5F09"/>
    <w:rsid w:val="00902940"/>
    <w:rsid w:val="00902C59"/>
    <w:rsid w:val="00907963"/>
    <w:rsid w:val="00912C99"/>
    <w:rsid w:val="0091309F"/>
    <w:rsid w:val="009209FD"/>
    <w:rsid w:val="00924BA0"/>
    <w:rsid w:val="00924FE0"/>
    <w:rsid w:val="00926B99"/>
    <w:rsid w:val="00930884"/>
    <w:rsid w:val="00930E4C"/>
    <w:rsid w:val="00931DC7"/>
    <w:rsid w:val="0093624C"/>
    <w:rsid w:val="009366F2"/>
    <w:rsid w:val="00937DC6"/>
    <w:rsid w:val="009464B9"/>
    <w:rsid w:val="00947056"/>
    <w:rsid w:val="009516C5"/>
    <w:rsid w:val="009523FB"/>
    <w:rsid w:val="00955DBD"/>
    <w:rsid w:val="00955E26"/>
    <w:rsid w:val="00956DE3"/>
    <w:rsid w:val="00957057"/>
    <w:rsid w:val="009617C8"/>
    <w:rsid w:val="00964E75"/>
    <w:rsid w:val="00967DC5"/>
    <w:rsid w:val="00967ECF"/>
    <w:rsid w:val="00970533"/>
    <w:rsid w:val="0097273B"/>
    <w:rsid w:val="00974F60"/>
    <w:rsid w:val="0098133E"/>
    <w:rsid w:val="00985A75"/>
    <w:rsid w:val="00985CCC"/>
    <w:rsid w:val="009878DA"/>
    <w:rsid w:val="009901E1"/>
    <w:rsid w:val="009901FE"/>
    <w:rsid w:val="00990893"/>
    <w:rsid w:val="00990FA1"/>
    <w:rsid w:val="00991A0F"/>
    <w:rsid w:val="00991F52"/>
    <w:rsid w:val="0099215B"/>
    <w:rsid w:val="00995ACE"/>
    <w:rsid w:val="00996AB4"/>
    <w:rsid w:val="00996C57"/>
    <w:rsid w:val="009A4DCE"/>
    <w:rsid w:val="009A7B73"/>
    <w:rsid w:val="009B1005"/>
    <w:rsid w:val="009B2536"/>
    <w:rsid w:val="009B33B0"/>
    <w:rsid w:val="009B45C4"/>
    <w:rsid w:val="009B4677"/>
    <w:rsid w:val="009B7CBF"/>
    <w:rsid w:val="009C0368"/>
    <w:rsid w:val="009C1436"/>
    <w:rsid w:val="009C370C"/>
    <w:rsid w:val="009C56EF"/>
    <w:rsid w:val="009D1260"/>
    <w:rsid w:val="009D4238"/>
    <w:rsid w:val="009D4F14"/>
    <w:rsid w:val="009D7E05"/>
    <w:rsid w:val="009E52B1"/>
    <w:rsid w:val="009E6E0C"/>
    <w:rsid w:val="009E71DF"/>
    <w:rsid w:val="009E7947"/>
    <w:rsid w:val="009F2CBB"/>
    <w:rsid w:val="009F444D"/>
    <w:rsid w:val="009F4CE5"/>
    <w:rsid w:val="009F6011"/>
    <w:rsid w:val="00A02396"/>
    <w:rsid w:val="00A0368A"/>
    <w:rsid w:val="00A04C3F"/>
    <w:rsid w:val="00A07545"/>
    <w:rsid w:val="00A101C7"/>
    <w:rsid w:val="00A13C08"/>
    <w:rsid w:val="00A23692"/>
    <w:rsid w:val="00A33326"/>
    <w:rsid w:val="00A35120"/>
    <w:rsid w:val="00A35FD9"/>
    <w:rsid w:val="00A36A02"/>
    <w:rsid w:val="00A4414D"/>
    <w:rsid w:val="00A51469"/>
    <w:rsid w:val="00A52A09"/>
    <w:rsid w:val="00A54701"/>
    <w:rsid w:val="00A5715D"/>
    <w:rsid w:val="00A62497"/>
    <w:rsid w:val="00A62AF2"/>
    <w:rsid w:val="00A63CA6"/>
    <w:rsid w:val="00A6476C"/>
    <w:rsid w:val="00A7213E"/>
    <w:rsid w:val="00A741A8"/>
    <w:rsid w:val="00A7437D"/>
    <w:rsid w:val="00A74845"/>
    <w:rsid w:val="00A76472"/>
    <w:rsid w:val="00A775FA"/>
    <w:rsid w:val="00A819F6"/>
    <w:rsid w:val="00A81CF3"/>
    <w:rsid w:val="00A83045"/>
    <w:rsid w:val="00A85EED"/>
    <w:rsid w:val="00A93446"/>
    <w:rsid w:val="00A946CC"/>
    <w:rsid w:val="00A948EE"/>
    <w:rsid w:val="00A95110"/>
    <w:rsid w:val="00A96819"/>
    <w:rsid w:val="00A96D31"/>
    <w:rsid w:val="00A9768B"/>
    <w:rsid w:val="00AA0500"/>
    <w:rsid w:val="00AA3A9B"/>
    <w:rsid w:val="00AA4177"/>
    <w:rsid w:val="00AA4497"/>
    <w:rsid w:val="00AA4D27"/>
    <w:rsid w:val="00AA51B4"/>
    <w:rsid w:val="00AA5E22"/>
    <w:rsid w:val="00AA664A"/>
    <w:rsid w:val="00AA7A34"/>
    <w:rsid w:val="00AA7F74"/>
    <w:rsid w:val="00AB082C"/>
    <w:rsid w:val="00AB0EA5"/>
    <w:rsid w:val="00AB1D46"/>
    <w:rsid w:val="00AB5A7C"/>
    <w:rsid w:val="00AD0EF6"/>
    <w:rsid w:val="00AD15E4"/>
    <w:rsid w:val="00AD2587"/>
    <w:rsid w:val="00AD26D4"/>
    <w:rsid w:val="00AD450D"/>
    <w:rsid w:val="00AD4EA4"/>
    <w:rsid w:val="00AE0B2C"/>
    <w:rsid w:val="00AE0DEC"/>
    <w:rsid w:val="00AF00D7"/>
    <w:rsid w:val="00AF0858"/>
    <w:rsid w:val="00AF0DE7"/>
    <w:rsid w:val="00AF14AC"/>
    <w:rsid w:val="00AF21F5"/>
    <w:rsid w:val="00AF2445"/>
    <w:rsid w:val="00AF2481"/>
    <w:rsid w:val="00AF29AD"/>
    <w:rsid w:val="00AF3351"/>
    <w:rsid w:val="00AF61A7"/>
    <w:rsid w:val="00AF661F"/>
    <w:rsid w:val="00AF7AA2"/>
    <w:rsid w:val="00B003FB"/>
    <w:rsid w:val="00B038AF"/>
    <w:rsid w:val="00B05101"/>
    <w:rsid w:val="00B0517E"/>
    <w:rsid w:val="00B11146"/>
    <w:rsid w:val="00B118B8"/>
    <w:rsid w:val="00B120B9"/>
    <w:rsid w:val="00B131F6"/>
    <w:rsid w:val="00B145AD"/>
    <w:rsid w:val="00B147B2"/>
    <w:rsid w:val="00B16F93"/>
    <w:rsid w:val="00B2286C"/>
    <w:rsid w:val="00B25178"/>
    <w:rsid w:val="00B2552B"/>
    <w:rsid w:val="00B26886"/>
    <w:rsid w:val="00B3229B"/>
    <w:rsid w:val="00B34AA7"/>
    <w:rsid w:val="00B365A1"/>
    <w:rsid w:val="00B3672C"/>
    <w:rsid w:val="00B37AC5"/>
    <w:rsid w:val="00B40674"/>
    <w:rsid w:val="00B50782"/>
    <w:rsid w:val="00B55405"/>
    <w:rsid w:val="00B573DA"/>
    <w:rsid w:val="00B60E06"/>
    <w:rsid w:val="00B630B5"/>
    <w:rsid w:val="00B639EB"/>
    <w:rsid w:val="00B63B86"/>
    <w:rsid w:val="00B65AF7"/>
    <w:rsid w:val="00B67E4D"/>
    <w:rsid w:val="00B70578"/>
    <w:rsid w:val="00B70BEA"/>
    <w:rsid w:val="00B73819"/>
    <w:rsid w:val="00B742B9"/>
    <w:rsid w:val="00B747A6"/>
    <w:rsid w:val="00B76DD9"/>
    <w:rsid w:val="00B80DAE"/>
    <w:rsid w:val="00B812A3"/>
    <w:rsid w:val="00B82B87"/>
    <w:rsid w:val="00B84A0A"/>
    <w:rsid w:val="00B84BF5"/>
    <w:rsid w:val="00B85A8F"/>
    <w:rsid w:val="00B8720E"/>
    <w:rsid w:val="00B90025"/>
    <w:rsid w:val="00B905DA"/>
    <w:rsid w:val="00B9128E"/>
    <w:rsid w:val="00B92C7D"/>
    <w:rsid w:val="00B930FC"/>
    <w:rsid w:val="00B93F8A"/>
    <w:rsid w:val="00B95D9D"/>
    <w:rsid w:val="00B96D9F"/>
    <w:rsid w:val="00BA1D29"/>
    <w:rsid w:val="00BA3F6A"/>
    <w:rsid w:val="00BA425D"/>
    <w:rsid w:val="00BA4892"/>
    <w:rsid w:val="00BB054B"/>
    <w:rsid w:val="00BB15A1"/>
    <w:rsid w:val="00BB1CA5"/>
    <w:rsid w:val="00BB2DF0"/>
    <w:rsid w:val="00BB37D0"/>
    <w:rsid w:val="00BB5CFB"/>
    <w:rsid w:val="00BB7ACF"/>
    <w:rsid w:val="00BC28BF"/>
    <w:rsid w:val="00BC3641"/>
    <w:rsid w:val="00BC7EAF"/>
    <w:rsid w:val="00BD00B9"/>
    <w:rsid w:val="00BD0862"/>
    <w:rsid w:val="00BD187B"/>
    <w:rsid w:val="00BD2BB1"/>
    <w:rsid w:val="00BD7386"/>
    <w:rsid w:val="00BD75E7"/>
    <w:rsid w:val="00BE06FB"/>
    <w:rsid w:val="00BE16B7"/>
    <w:rsid w:val="00BE3B3C"/>
    <w:rsid w:val="00BE3DBA"/>
    <w:rsid w:val="00BE4110"/>
    <w:rsid w:val="00BE539A"/>
    <w:rsid w:val="00BE5991"/>
    <w:rsid w:val="00BE7797"/>
    <w:rsid w:val="00BF1D13"/>
    <w:rsid w:val="00BF1DB9"/>
    <w:rsid w:val="00C007E0"/>
    <w:rsid w:val="00C0107F"/>
    <w:rsid w:val="00C01415"/>
    <w:rsid w:val="00C031FD"/>
    <w:rsid w:val="00C05822"/>
    <w:rsid w:val="00C07004"/>
    <w:rsid w:val="00C07E17"/>
    <w:rsid w:val="00C12BE9"/>
    <w:rsid w:val="00C15CF1"/>
    <w:rsid w:val="00C15DF9"/>
    <w:rsid w:val="00C20132"/>
    <w:rsid w:val="00C20577"/>
    <w:rsid w:val="00C21768"/>
    <w:rsid w:val="00C228AC"/>
    <w:rsid w:val="00C23879"/>
    <w:rsid w:val="00C25238"/>
    <w:rsid w:val="00C26855"/>
    <w:rsid w:val="00C31258"/>
    <w:rsid w:val="00C34957"/>
    <w:rsid w:val="00C43583"/>
    <w:rsid w:val="00C43A0C"/>
    <w:rsid w:val="00C43FAC"/>
    <w:rsid w:val="00C44ED1"/>
    <w:rsid w:val="00C459E8"/>
    <w:rsid w:val="00C47FC1"/>
    <w:rsid w:val="00C53067"/>
    <w:rsid w:val="00C53289"/>
    <w:rsid w:val="00C5652E"/>
    <w:rsid w:val="00C56F19"/>
    <w:rsid w:val="00C6335B"/>
    <w:rsid w:val="00C65B4B"/>
    <w:rsid w:val="00C66D5C"/>
    <w:rsid w:val="00C73727"/>
    <w:rsid w:val="00C773F1"/>
    <w:rsid w:val="00C77708"/>
    <w:rsid w:val="00C81735"/>
    <w:rsid w:val="00C84F39"/>
    <w:rsid w:val="00C87340"/>
    <w:rsid w:val="00C91BDB"/>
    <w:rsid w:val="00C93CCE"/>
    <w:rsid w:val="00C9447A"/>
    <w:rsid w:val="00C95635"/>
    <w:rsid w:val="00C96C51"/>
    <w:rsid w:val="00C97F61"/>
    <w:rsid w:val="00CA392F"/>
    <w:rsid w:val="00CA56A1"/>
    <w:rsid w:val="00CA5A64"/>
    <w:rsid w:val="00CA7BBF"/>
    <w:rsid w:val="00CB3C5B"/>
    <w:rsid w:val="00CB3D9B"/>
    <w:rsid w:val="00CB47E5"/>
    <w:rsid w:val="00CB6FB1"/>
    <w:rsid w:val="00CC1830"/>
    <w:rsid w:val="00CC2F34"/>
    <w:rsid w:val="00CC30EE"/>
    <w:rsid w:val="00CC31F2"/>
    <w:rsid w:val="00CC364E"/>
    <w:rsid w:val="00CC3B64"/>
    <w:rsid w:val="00CC4387"/>
    <w:rsid w:val="00CC4AD7"/>
    <w:rsid w:val="00CC5F68"/>
    <w:rsid w:val="00CC6A6B"/>
    <w:rsid w:val="00CC7361"/>
    <w:rsid w:val="00CC73C8"/>
    <w:rsid w:val="00CD000D"/>
    <w:rsid w:val="00CD0896"/>
    <w:rsid w:val="00CD1AF9"/>
    <w:rsid w:val="00CD7169"/>
    <w:rsid w:val="00CD7C60"/>
    <w:rsid w:val="00CE0A0B"/>
    <w:rsid w:val="00CE0C13"/>
    <w:rsid w:val="00CE47E7"/>
    <w:rsid w:val="00CE535B"/>
    <w:rsid w:val="00CE54C5"/>
    <w:rsid w:val="00CE6A49"/>
    <w:rsid w:val="00CE7638"/>
    <w:rsid w:val="00CE7C71"/>
    <w:rsid w:val="00CF049F"/>
    <w:rsid w:val="00CF145B"/>
    <w:rsid w:val="00CF14BB"/>
    <w:rsid w:val="00CF25EE"/>
    <w:rsid w:val="00CF4C59"/>
    <w:rsid w:val="00D024F5"/>
    <w:rsid w:val="00D02A07"/>
    <w:rsid w:val="00D100BB"/>
    <w:rsid w:val="00D117C6"/>
    <w:rsid w:val="00D11F24"/>
    <w:rsid w:val="00D13544"/>
    <w:rsid w:val="00D14800"/>
    <w:rsid w:val="00D1658E"/>
    <w:rsid w:val="00D223C9"/>
    <w:rsid w:val="00D233D5"/>
    <w:rsid w:val="00D23974"/>
    <w:rsid w:val="00D25E89"/>
    <w:rsid w:val="00D276FB"/>
    <w:rsid w:val="00D32618"/>
    <w:rsid w:val="00D34486"/>
    <w:rsid w:val="00D37225"/>
    <w:rsid w:val="00D37739"/>
    <w:rsid w:val="00D42D4F"/>
    <w:rsid w:val="00D43BC5"/>
    <w:rsid w:val="00D43C2A"/>
    <w:rsid w:val="00D43EBE"/>
    <w:rsid w:val="00D448A9"/>
    <w:rsid w:val="00D458B5"/>
    <w:rsid w:val="00D47A3A"/>
    <w:rsid w:val="00D47B86"/>
    <w:rsid w:val="00D47F50"/>
    <w:rsid w:val="00D47F79"/>
    <w:rsid w:val="00D50679"/>
    <w:rsid w:val="00D50858"/>
    <w:rsid w:val="00D5183F"/>
    <w:rsid w:val="00D52A05"/>
    <w:rsid w:val="00D52C09"/>
    <w:rsid w:val="00D552A8"/>
    <w:rsid w:val="00D556FD"/>
    <w:rsid w:val="00D55794"/>
    <w:rsid w:val="00D55FD1"/>
    <w:rsid w:val="00D56DA3"/>
    <w:rsid w:val="00D6001F"/>
    <w:rsid w:val="00D602A1"/>
    <w:rsid w:val="00D61A11"/>
    <w:rsid w:val="00D61F76"/>
    <w:rsid w:val="00D67597"/>
    <w:rsid w:val="00D70ACC"/>
    <w:rsid w:val="00D71058"/>
    <w:rsid w:val="00D74F3C"/>
    <w:rsid w:val="00D76005"/>
    <w:rsid w:val="00D80885"/>
    <w:rsid w:val="00D81276"/>
    <w:rsid w:val="00D81E03"/>
    <w:rsid w:val="00D83213"/>
    <w:rsid w:val="00D869CC"/>
    <w:rsid w:val="00D872FB"/>
    <w:rsid w:val="00D9653A"/>
    <w:rsid w:val="00D96925"/>
    <w:rsid w:val="00D969AF"/>
    <w:rsid w:val="00DA0186"/>
    <w:rsid w:val="00DA1D07"/>
    <w:rsid w:val="00DA2749"/>
    <w:rsid w:val="00DA2DB9"/>
    <w:rsid w:val="00DA33EA"/>
    <w:rsid w:val="00DA38B3"/>
    <w:rsid w:val="00DA3F8F"/>
    <w:rsid w:val="00DA4977"/>
    <w:rsid w:val="00DA4C6F"/>
    <w:rsid w:val="00DA5D1D"/>
    <w:rsid w:val="00DA7125"/>
    <w:rsid w:val="00DB3B5B"/>
    <w:rsid w:val="00DB3C56"/>
    <w:rsid w:val="00DB67C3"/>
    <w:rsid w:val="00DC09EA"/>
    <w:rsid w:val="00DC1635"/>
    <w:rsid w:val="00DC2451"/>
    <w:rsid w:val="00DC5973"/>
    <w:rsid w:val="00DC6AED"/>
    <w:rsid w:val="00DC6E6C"/>
    <w:rsid w:val="00DD11CB"/>
    <w:rsid w:val="00DD1FF7"/>
    <w:rsid w:val="00DD3991"/>
    <w:rsid w:val="00DE07F6"/>
    <w:rsid w:val="00DE2B97"/>
    <w:rsid w:val="00DE4AFB"/>
    <w:rsid w:val="00DE4F68"/>
    <w:rsid w:val="00DE64D9"/>
    <w:rsid w:val="00DF210A"/>
    <w:rsid w:val="00DF2375"/>
    <w:rsid w:val="00DF6465"/>
    <w:rsid w:val="00DF70C9"/>
    <w:rsid w:val="00E01310"/>
    <w:rsid w:val="00E03BC2"/>
    <w:rsid w:val="00E04CF4"/>
    <w:rsid w:val="00E078BB"/>
    <w:rsid w:val="00E10D82"/>
    <w:rsid w:val="00E136A0"/>
    <w:rsid w:val="00E14A94"/>
    <w:rsid w:val="00E178C2"/>
    <w:rsid w:val="00E206D7"/>
    <w:rsid w:val="00E22484"/>
    <w:rsid w:val="00E25306"/>
    <w:rsid w:val="00E25410"/>
    <w:rsid w:val="00E257FF"/>
    <w:rsid w:val="00E279DF"/>
    <w:rsid w:val="00E31088"/>
    <w:rsid w:val="00E33D14"/>
    <w:rsid w:val="00E354FB"/>
    <w:rsid w:val="00E37C37"/>
    <w:rsid w:val="00E42254"/>
    <w:rsid w:val="00E450F1"/>
    <w:rsid w:val="00E50683"/>
    <w:rsid w:val="00E53550"/>
    <w:rsid w:val="00E55A3F"/>
    <w:rsid w:val="00E60D07"/>
    <w:rsid w:val="00E62EE3"/>
    <w:rsid w:val="00E63902"/>
    <w:rsid w:val="00E73D91"/>
    <w:rsid w:val="00E757B5"/>
    <w:rsid w:val="00E75BBB"/>
    <w:rsid w:val="00E80DF5"/>
    <w:rsid w:val="00E823DB"/>
    <w:rsid w:val="00E82DC9"/>
    <w:rsid w:val="00E82F02"/>
    <w:rsid w:val="00E82F23"/>
    <w:rsid w:val="00E84E62"/>
    <w:rsid w:val="00E867C6"/>
    <w:rsid w:val="00E92186"/>
    <w:rsid w:val="00E925BF"/>
    <w:rsid w:val="00E952C7"/>
    <w:rsid w:val="00E9782C"/>
    <w:rsid w:val="00E97EF2"/>
    <w:rsid w:val="00EA0F4C"/>
    <w:rsid w:val="00EA1911"/>
    <w:rsid w:val="00EA225C"/>
    <w:rsid w:val="00EA2292"/>
    <w:rsid w:val="00EA247C"/>
    <w:rsid w:val="00EA31F5"/>
    <w:rsid w:val="00EB33FB"/>
    <w:rsid w:val="00EB5E5E"/>
    <w:rsid w:val="00EB7F6B"/>
    <w:rsid w:val="00EC0E5E"/>
    <w:rsid w:val="00EC2CC9"/>
    <w:rsid w:val="00EC333C"/>
    <w:rsid w:val="00EC42ED"/>
    <w:rsid w:val="00EC5994"/>
    <w:rsid w:val="00ED052B"/>
    <w:rsid w:val="00ED0EF0"/>
    <w:rsid w:val="00ED25DE"/>
    <w:rsid w:val="00ED7BA5"/>
    <w:rsid w:val="00ED7DC7"/>
    <w:rsid w:val="00EE06F0"/>
    <w:rsid w:val="00EE0DF9"/>
    <w:rsid w:val="00EE0F7A"/>
    <w:rsid w:val="00EE2D22"/>
    <w:rsid w:val="00EE494B"/>
    <w:rsid w:val="00EE61A2"/>
    <w:rsid w:val="00EE7FFA"/>
    <w:rsid w:val="00EF2AF1"/>
    <w:rsid w:val="00EF37DB"/>
    <w:rsid w:val="00EF3FD4"/>
    <w:rsid w:val="00EF510C"/>
    <w:rsid w:val="00EF79E8"/>
    <w:rsid w:val="00F022DE"/>
    <w:rsid w:val="00F02514"/>
    <w:rsid w:val="00F0298F"/>
    <w:rsid w:val="00F02C8B"/>
    <w:rsid w:val="00F02E5D"/>
    <w:rsid w:val="00F04FF7"/>
    <w:rsid w:val="00F05E59"/>
    <w:rsid w:val="00F06930"/>
    <w:rsid w:val="00F1156A"/>
    <w:rsid w:val="00F1307A"/>
    <w:rsid w:val="00F150DF"/>
    <w:rsid w:val="00F1513E"/>
    <w:rsid w:val="00F2212C"/>
    <w:rsid w:val="00F22384"/>
    <w:rsid w:val="00F2333F"/>
    <w:rsid w:val="00F25B8B"/>
    <w:rsid w:val="00F26F91"/>
    <w:rsid w:val="00F275FC"/>
    <w:rsid w:val="00F2777D"/>
    <w:rsid w:val="00F27FCB"/>
    <w:rsid w:val="00F319C1"/>
    <w:rsid w:val="00F32173"/>
    <w:rsid w:val="00F33DA7"/>
    <w:rsid w:val="00F35FFA"/>
    <w:rsid w:val="00F379FD"/>
    <w:rsid w:val="00F47549"/>
    <w:rsid w:val="00F47F72"/>
    <w:rsid w:val="00F5009A"/>
    <w:rsid w:val="00F50702"/>
    <w:rsid w:val="00F51CBF"/>
    <w:rsid w:val="00F543EA"/>
    <w:rsid w:val="00F552B4"/>
    <w:rsid w:val="00F56508"/>
    <w:rsid w:val="00F57929"/>
    <w:rsid w:val="00F57FEE"/>
    <w:rsid w:val="00F636FB"/>
    <w:rsid w:val="00F6501C"/>
    <w:rsid w:val="00F65538"/>
    <w:rsid w:val="00F6662E"/>
    <w:rsid w:val="00F722C3"/>
    <w:rsid w:val="00F722FD"/>
    <w:rsid w:val="00F74357"/>
    <w:rsid w:val="00F80642"/>
    <w:rsid w:val="00F807E8"/>
    <w:rsid w:val="00F822C2"/>
    <w:rsid w:val="00F822EC"/>
    <w:rsid w:val="00F82508"/>
    <w:rsid w:val="00F85FE1"/>
    <w:rsid w:val="00F86200"/>
    <w:rsid w:val="00F922CC"/>
    <w:rsid w:val="00F93AA6"/>
    <w:rsid w:val="00F97032"/>
    <w:rsid w:val="00F97F5B"/>
    <w:rsid w:val="00FA362F"/>
    <w:rsid w:val="00FA3C19"/>
    <w:rsid w:val="00FA6E0B"/>
    <w:rsid w:val="00FA75BF"/>
    <w:rsid w:val="00FA7C64"/>
    <w:rsid w:val="00FB024A"/>
    <w:rsid w:val="00FB2015"/>
    <w:rsid w:val="00FB524E"/>
    <w:rsid w:val="00FB541F"/>
    <w:rsid w:val="00FB74E6"/>
    <w:rsid w:val="00FC2F9C"/>
    <w:rsid w:val="00FC348B"/>
    <w:rsid w:val="00FC443C"/>
    <w:rsid w:val="00FC4EB8"/>
    <w:rsid w:val="00FC7825"/>
    <w:rsid w:val="00FC7891"/>
    <w:rsid w:val="00FC7943"/>
    <w:rsid w:val="00FC79ED"/>
    <w:rsid w:val="00FD0570"/>
    <w:rsid w:val="00FD0EC4"/>
    <w:rsid w:val="00FD1A09"/>
    <w:rsid w:val="00FD3ED5"/>
    <w:rsid w:val="00FD50C9"/>
    <w:rsid w:val="00FE3F12"/>
    <w:rsid w:val="00FE5089"/>
    <w:rsid w:val="00FE5CCD"/>
    <w:rsid w:val="00FF364D"/>
    <w:rsid w:val="00FF3D77"/>
    <w:rsid w:val="00FF414C"/>
    <w:rsid w:val="00FF57FD"/>
    <w:rsid w:val="00FF76C1"/>
    <w:rsid w:val="013933E8"/>
    <w:rsid w:val="02203B3A"/>
    <w:rsid w:val="027520D7"/>
    <w:rsid w:val="030C31A3"/>
    <w:rsid w:val="0314369E"/>
    <w:rsid w:val="03521A83"/>
    <w:rsid w:val="043F4B84"/>
    <w:rsid w:val="045B6BB6"/>
    <w:rsid w:val="04F27A0F"/>
    <w:rsid w:val="054133E6"/>
    <w:rsid w:val="05B9052D"/>
    <w:rsid w:val="060A5636"/>
    <w:rsid w:val="067B358B"/>
    <w:rsid w:val="074F739B"/>
    <w:rsid w:val="08762705"/>
    <w:rsid w:val="09327918"/>
    <w:rsid w:val="09BA7CD2"/>
    <w:rsid w:val="09BF428B"/>
    <w:rsid w:val="09F50EE2"/>
    <w:rsid w:val="0A407D85"/>
    <w:rsid w:val="0A4C5E14"/>
    <w:rsid w:val="0A782DA4"/>
    <w:rsid w:val="0B601178"/>
    <w:rsid w:val="0B927856"/>
    <w:rsid w:val="0BBA534B"/>
    <w:rsid w:val="0BFB0017"/>
    <w:rsid w:val="0CF770E7"/>
    <w:rsid w:val="0D0C4CF8"/>
    <w:rsid w:val="0D5044E7"/>
    <w:rsid w:val="0E3270CE"/>
    <w:rsid w:val="0E921AE2"/>
    <w:rsid w:val="0E9338DB"/>
    <w:rsid w:val="0FED26E5"/>
    <w:rsid w:val="102A5593"/>
    <w:rsid w:val="1030084F"/>
    <w:rsid w:val="110579AF"/>
    <w:rsid w:val="11501174"/>
    <w:rsid w:val="117C0D3F"/>
    <w:rsid w:val="11BC6FF0"/>
    <w:rsid w:val="1208619C"/>
    <w:rsid w:val="120E2E5C"/>
    <w:rsid w:val="122D46DF"/>
    <w:rsid w:val="12306264"/>
    <w:rsid w:val="124E5814"/>
    <w:rsid w:val="131A3C63"/>
    <w:rsid w:val="13AC1433"/>
    <w:rsid w:val="13FF7A53"/>
    <w:rsid w:val="14520333"/>
    <w:rsid w:val="14606B8C"/>
    <w:rsid w:val="14832432"/>
    <w:rsid w:val="14A017E9"/>
    <w:rsid w:val="14F75772"/>
    <w:rsid w:val="1507603F"/>
    <w:rsid w:val="15231AB9"/>
    <w:rsid w:val="154D3F83"/>
    <w:rsid w:val="15E810C9"/>
    <w:rsid w:val="16AB23A8"/>
    <w:rsid w:val="16E6314C"/>
    <w:rsid w:val="1750188B"/>
    <w:rsid w:val="1763586C"/>
    <w:rsid w:val="17E064BA"/>
    <w:rsid w:val="182338DB"/>
    <w:rsid w:val="184B14B9"/>
    <w:rsid w:val="184D106D"/>
    <w:rsid w:val="184F08DA"/>
    <w:rsid w:val="187D363C"/>
    <w:rsid w:val="189162DE"/>
    <w:rsid w:val="189746FE"/>
    <w:rsid w:val="18B708FC"/>
    <w:rsid w:val="18BA4C53"/>
    <w:rsid w:val="192E3F6A"/>
    <w:rsid w:val="1A047831"/>
    <w:rsid w:val="1B2942DD"/>
    <w:rsid w:val="1BCE322D"/>
    <w:rsid w:val="1CB93013"/>
    <w:rsid w:val="1D4A6089"/>
    <w:rsid w:val="1D9E02DC"/>
    <w:rsid w:val="1DF04C6C"/>
    <w:rsid w:val="1E396257"/>
    <w:rsid w:val="1E560BB7"/>
    <w:rsid w:val="1F347C6C"/>
    <w:rsid w:val="21182154"/>
    <w:rsid w:val="21820F5A"/>
    <w:rsid w:val="21830A55"/>
    <w:rsid w:val="229E0564"/>
    <w:rsid w:val="230A4E08"/>
    <w:rsid w:val="23413106"/>
    <w:rsid w:val="23B50B24"/>
    <w:rsid w:val="24311EAA"/>
    <w:rsid w:val="24E32A79"/>
    <w:rsid w:val="25074C4E"/>
    <w:rsid w:val="25496D00"/>
    <w:rsid w:val="25900E53"/>
    <w:rsid w:val="25B03DE2"/>
    <w:rsid w:val="25E93242"/>
    <w:rsid w:val="26FB67A0"/>
    <w:rsid w:val="272C2AFE"/>
    <w:rsid w:val="2750388E"/>
    <w:rsid w:val="27867475"/>
    <w:rsid w:val="28F364BD"/>
    <w:rsid w:val="291122AA"/>
    <w:rsid w:val="29704F73"/>
    <w:rsid w:val="2AF3396F"/>
    <w:rsid w:val="2B0379D1"/>
    <w:rsid w:val="2B065713"/>
    <w:rsid w:val="2B425AC7"/>
    <w:rsid w:val="2B620B9B"/>
    <w:rsid w:val="2BAC164F"/>
    <w:rsid w:val="2BD1276A"/>
    <w:rsid w:val="2BEA185B"/>
    <w:rsid w:val="2D482013"/>
    <w:rsid w:val="2D56396E"/>
    <w:rsid w:val="2DCF5CEB"/>
    <w:rsid w:val="2E08486C"/>
    <w:rsid w:val="2E1B7734"/>
    <w:rsid w:val="2E32735A"/>
    <w:rsid w:val="2E76495E"/>
    <w:rsid w:val="2E897D68"/>
    <w:rsid w:val="2EFB86FC"/>
    <w:rsid w:val="2F6F6D61"/>
    <w:rsid w:val="2F8A3221"/>
    <w:rsid w:val="30232088"/>
    <w:rsid w:val="303867AA"/>
    <w:rsid w:val="30E71077"/>
    <w:rsid w:val="31262BAF"/>
    <w:rsid w:val="319655E2"/>
    <w:rsid w:val="31EF3498"/>
    <w:rsid w:val="32110199"/>
    <w:rsid w:val="32174867"/>
    <w:rsid w:val="323A4C76"/>
    <w:rsid w:val="3304623A"/>
    <w:rsid w:val="339B13BA"/>
    <w:rsid w:val="33D76978"/>
    <w:rsid w:val="341750FF"/>
    <w:rsid w:val="34B13101"/>
    <w:rsid w:val="34E03C50"/>
    <w:rsid w:val="350E7B6B"/>
    <w:rsid w:val="357069B7"/>
    <w:rsid w:val="35AF0E81"/>
    <w:rsid w:val="35FB7ED7"/>
    <w:rsid w:val="360A4309"/>
    <w:rsid w:val="36215A8C"/>
    <w:rsid w:val="364E28A2"/>
    <w:rsid w:val="36DA1F9A"/>
    <w:rsid w:val="373B5F4E"/>
    <w:rsid w:val="381059C0"/>
    <w:rsid w:val="38804D57"/>
    <w:rsid w:val="38F54FFF"/>
    <w:rsid w:val="390E4110"/>
    <w:rsid w:val="3975484F"/>
    <w:rsid w:val="39AB5580"/>
    <w:rsid w:val="3AD46D2A"/>
    <w:rsid w:val="3AF537FF"/>
    <w:rsid w:val="3B312812"/>
    <w:rsid w:val="3B6E533A"/>
    <w:rsid w:val="3B8D45DF"/>
    <w:rsid w:val="3BAC19BF"/>
    <w:rsid w:val="3BD00813"/>
    <w:rsid w:val="3C496053"/>
    <w:rsid w:val="3C5A0F14"/>
    <w:rsid w:val="3C6B3490"/>
    <w:rsid w:val="3CA93F6F"/>
    <w:rsid w:val="3D1475F1"/>
    <w:rsid w:val="3D5D11C3"/>
    <w:rsid w:val="3DE03BA2"/>
    <w:rsid w:val="3E8C212D"/>
    <w:rsid w:val="3F171845"/>
    <w:rsid w:val="3FC10EA5"/>
    <w:rsid w:val="3FFC5807"/>
    <w:rsid w:val="404B79F8"/>
    <w:rsid w:val="40911A3A"/>
    <w:rsid w:val="40CA7044"/>
    <w:rsid w:val="41067DC3"/>
    <w:rsid w:val="41196687"/>
    <w:rsid w:val="41562AF9"/>
    <w:rsid w:val="41A448BE"/>
    <w:rsid w:val="4220550C"/>
    <w:rsid w:val="42206C63"/>
    <w:rsid w:val="422538A1"/>
    <w:rsid w:val="42613D77"/>
    <w:rsid w:val="42A950BB"/>
    <w:rsid w:val="42AF2661"/>
    <w:rsid w:val="438C0A54"/>
    <w:rsid w:val="43FE4D82"/>
    <w:rsid w:val="44005D47"/>
    <w:rsid w:val="44A818BD"/>
    <w:rsid w:val="452537EF"/>
    <w:rsid w:val="458539AC"/>
    <w:rsid w:val="459F4379"/>
    <w:rsid w:val="45A81449"/>
    <w:rsid w:val="45B4254C"/>
    <w:rsid w:val="46284E65"/>
    <w:rsid w:val="467F4AF1"/>
    <w:rsid w:val="481D7733"/>
    <w:rsid w:val="489E3443"/>
    <w:rsid w:val="48F17A38"/>
    <w:rsid w:val="49127059"/>
    <w:rsid w:val="493B49B5"/>
    <w:rsid w:val="49EB2A43"/>
    <w:rsid w:val="49FB156F"/>
    <w:rsid w:val="4A1F4C27"/>
    <w:rsid w:val="4A2C6271"/>
    <w:rsid w:val="4A937164"/>
    <w:rsid w:val="4ADA448E"/>
    <w:rsid w:val="4C0E0BA2"/>
    <w:rsid w:val="4C5D198A"/>
    <w:rsid w:val="4C7958ED"/>
    <w:rsid w:val="4D553C64"/>
    <w:rsid w:val="4DA841F4"/>
    <w:rsid w:val="4E191862"/>
    <w:rsid w:val="4E1C38F4"/>
    <w:rsid w:val="4F1D2EA8"/>
    <w:rsid w:val="4FDF1F0B"/>
    <w:rsid w:val="503C55AF"/>
    <w:rsid w:val="51244BA2"/>
    <w:rsid w:val="5203370E"/>
    <w:rsid w:val="527958DF"/>
    <w:rsid w:val="52E2243E"/>
    <w:rsid w:val="538232D9"/>
    <w:rsid w:val="53BA2E6A"/>
    <w:rsid w:val="53EB143A"/>
    <w:rsid w:val="541479EC"/>
    <w:rsid w:val="54FE0CBF"/>
    <w:rsid w:val="558F7F2F"/>
    <w:rsid w:val="559A7000"/>
    <w:rsid w:val="55F22771"/>
    <w:rsid w:val="564C2F5E"/>
    <w:rsid w:val="56BD255D"/>
    <w:rsid w:val="56BF56F5"/>
    <w:rsid w:val="56EC7829"/>
    <w:rsid w:val="58260AEE"/>
    <w:rsid w:val="58641614"/>
    <w:rsid w:val="588E2720"/>
    <w:rsid w:val="5895585D"/>
    <w:rsid w:val="591C1ADA"/>
    <w:rsid w:val="592461CF"/>
    <w:rsid w:val="5A33357F"/>
    <w:rsid w:val="5A4C0E39"/>
    <w:rsid w:val="5A6272CC"/>
    <w:rsid w:val="5A9F5373"/>
    <w:rsid w:val="5AC71F19"/>
    <w:rsid w:val="5AF0321E"/>
    <w:rsid w:val="5B146B26"/>
    <w:rsid w:val="5BB362A0"/>
    <w:rsid w:val="5C452E19"/>
    <w:rsid w:val="5D454CBD"/>
    <w:rsid w:val="5D481D97"/>
    <w:rsid w:val="5D6F56A5"/>
    <w:rsid w:val="5DDD79E4"/>
    <w:rsid w:val="5E1E00A2"/>
    <w:rsid w:val="5E3C677A"/>
    <w:rsid w:val="5E8343A9"/>
    <w:rsid w:val="5EED4A38"/>
    <w:rsid w:val="5F033327"/>
    <w:rsid w:val="5F8D1984"/>
    <w:rsid w:val="60695F4D"/>
    <w:rsid w:val="60A7051F"/>
    <w:rsid w:val="6105633A"/>
    <w:rsid w:val="611A0FF5"/>
    <w:rsid w:val="62127771"/>
    <w:rsid w:val="62404F7D"/>
    <w:rsid w:val="62533A5E"/>
    <w:rsid w:val="629E5C56"/>
    <w:rsid w:val="62D578C9"/>
    <w:rsid w:val="633B3465"/>
    <w:rsid w:val="634A2DD9"/>
    <w:rsid w:val="6354299A"/>
    <w:rsid w:val="639A01CB"/>
    <w:rsid w:val="63AF61EE"/>
    <w:rsid w:val="642301C1"/>
    <w:rsid w:val="652F5490"/>
    <w:rsid w:val="65D976D1"/>
    <w:rsid w:val="65E90142"/>
    <w:rsid w:val="66467EC4"/>
    <w:rsid w:val="66E47FD9"/>
    <w:rsid w:val="67717495"/>
    <w:rsid w:val="67A930D3"/>
    <w:rsid w:val="67C549DF"/>
    <w:rsid w:val="6A1E08B4"/>
    <w:rsid w:val="6A6D4F02"/>
    <w:rsid w:val="6ABD60AB"/>
    <w:rsid w:val="6AF13817"/>
    <w:rsid w:val="6B0D5727"/>
    <w:rsid w:val="6B361121"/>
    <w:rsid w:val="6B5D6DE5"/>
    <w:rsid w:val="6B6A1A47"/>
    <w:rsid w:val="6BBF58E8"/>
    <w:rsid w:val="6BE37AD9"/>
    <w:rsid w:val="6C9500C9"/>
    <w:rsid w:val="6D8C5028"/>
    <w:rsid w:val="6E4C6851"/>
    <w:rsid w:val="6F015C4F"/>
    <w:rsid w:val="6F353531"/>
    <w:rsid w:val="6F3C7C1B"/>
    <w:rsid w:val="6F7D69F9"/>
    <w:rsid w:val="6F9A1F04"/>
    <w:rsid w:val="701D21A2"/>
    <w:rsid w:val="70A158B1"/>
    <w:rsid w:val="718304F0"/>
    <w:rsid w:val="71F8388A"/>
    <w:rsid w:val="72513F19"/>
    <w:rsid w:val="729D55E2"/>
    <w:rsid w:val="73355E2A"/>
    <w:rsid w:val="73D054C9"/>
    <w:rsid w:val="73D72D76"/>
    <w:rsid w:val="73EA3012"/>
    <w:rsid w:val="74471CA9"/>
    <w:rsid w:val="756B1BE0"/>
    <w:rsid w:val="75A37343"/>
    <w:rsid w:val="75AA621D"/>
    <w:rsid w:val="75B9389A"/>
    <w:rsid w:val="75C537CD"/>
    <w:rsid w:val="75D879FD"/>
    <w:rsid w:val="75E1341E"/>
    <w:rsid w:val="761F2EE4"/>
    <w:rsid w:val="762F36B0"/>
    <w:rsid w:val="76D90BB3"/>
    <w:rsid w:val="76FA13B1"/>
    <w:rsid w:val="77553DF8"/>
    <w:rsid w:val="77E71047"/>
    <w:rsid w:val="785B5D23"/>
    <w:rsid w:val="78682697"/>
    <w:rsid w:val="797F5A41"/>
    <w:rsid w:val="79D7762B"/>
    <w:rsid w:val="7A371E3B"/>
    <w:rsid w:val="7AD25AA2"/>
    <w:rsid w:val="7AFB2BD3"/>
    <w:rsid w:val="7C211032"/>
    <w:rsid w:val="7C3F3BAE"/>
    <w:rsid w:val="7CAE0ACD"/>
    <w:rsid w:val="7CCC724B"/>
    <w:rsid w:val="7CD10CAA"/>
    <w:rsid w:val="7D7B29C4"/>
    <w:rsid w:val="7D8212F8"/>
    <w:rsid w:val="7DF022CF"/>
    <w:rsid w:val="7E66156B"/>
    <w:rsid w:val="7E881AE3"/>
    <w:rsid w:val="7E92383D"/>
    <w:rsid w:val="7EB4211E"/>
    <w:rsid w:val="7F0B05A0"/>
    <w:rsid w:val="7F8FF9CE"/>
    <w:rsid w:val="7FF410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link w:val="50"/>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6">
    <w:name w:val="Document Map"/>
    <w:basedOn w:val="1"/>
    <w:semiHidden/>
    <w:qFormat/>
    <w:uiPriority w:val="0"/>
    <w:pPr>
      <w:shd w:val="clear" w:color="auto" w:fill="000080"/>
    </w:pPr>
  </w:style>
  <w:style w:type="paragraph" w:styleId="7">
    <w:name w:val="annotation text"/>
    <w:basedOn w:val="1"/>
    <w:semiHidden/>
    <w:qFormat/>
    <w:uiPriority w:val="0"/>
    <w:pPr>
      <w:jc w:val="left"/>
    </w:pPr>
  </w:style>
  <w:style w:type="paragraph" w:styleId="8">
    <w:name w:val="toc 3"/>
    <w:basedOn w:val="1"/>
    <w:next w:val="1"/>
    <w:autoRedefine/>
    <w:unhideWhenUsed/>
    <w:qFormat/>
    <w:uiPriority w:val="39"/>
    <w:pPr>
      <w:ind w:left="840" w:leftChars="400"/>
    </w:pPr>
  </w:style>
  <w:style w:type="paragraph" w:styleId="9">
    <w:name w:val="Date"/>
    <w:basedOn w:val="1"/>
    <w:next w:val="1"/>
    <w:link w:val="60"/>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26"/>
    <w:qFormat/>
    <w:uiPriority w:val="99"/>
    <w:pPr>
      <w:tabs>
        <w:tab w:val="center" w:pos="4153"/>
        <w:tab w:val="right" w:pos="8306"/>
      </w:tabs>
      <w:snapToGrid w:val="0"/>
      <w:jc w:val="left"/>
    </w:pPr>
    <w:rPr>
      <w:sz w:val="18"/>
      <w:szCs w:val="18"/>
    </w:rPr>
  </w:style>
  <w:style w:type="paragraph" w:styleId="12">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tabs>
        <w:tab w:val="right" w:leader="dot" w:pos="8290"/>
      </w:tabs>
      <w:jc w:val="center"/>
    </w:pPr>
    <w:rPr>
      <w:rFonts w:ascii="黑体" w:hAnsi="黑体" w:eastAsia="黑体"/>
      <w:b/>
      <w:bCs/>
      <w:sz w:val="28"/>
      <w:szCs w:val="28"/>
      <w:lang w:val="zh-CN"/>
    </w:rPr>
  </w:style>
  <w:style w:type="paragraph" w:styleId="14">
    <w:name w:val="toc 2"/>
    <w:basedOn w:val="1"/>
    <w:next w:val="1"/>
    <w:qFormat/>
    <w:uiPriority w:val="39"/>
    <w:pPr>
      <w:ind w:left="210"/>
      <w:jc w:val="left"/>
    </w:pPr>
    <w:rPr>
      <w:smallCaps/>
      <w:sz w:val="20"/>
      <w:szCs w:val="20"/>
    </w:rPr>
  </w:style>
  <w:style w:type="paragraph" w:styleId="15">
    <w:name w:val="Normal (Web)"/>
    <w:basedOn w:val="1"/>
    <w:semiHidden/>
    <w:unhideWhenUsed/>
    <w:qFormat/>
    <w:uiPriority w:val="99"/>
    <w:pPr>
      <w:widowControl/>
      <w:spacing w:before="100" w:beforeAutospacing="1" w:after="100" w:afterAutospacing="1"/>
      <w:jc w:val="left"/>
    </w:pPr>
    <w:rPr>
      <w:rFonts w:eastAsia="Times New Roman"/>
      <w:kern w:val="0"/>
      <w:sz w:val="24"/>
    </w:rPr>
  </w:style>
  <w:style w:type="paragraph" w:styleId="16">
    <w:name w:val="annotation subject"/>
    <w:basedOn w:val="7"/>
    <w:next w:val="7"/>
    <w:semiHidden/>
    <w:qFormat/>
    <w:uiPriority w:val="0"/>
    <w:rPr>
      <w:b/>
      <w:bCs/>
    </w:rPr>
  </w:style>
  <w:style w:type="character" w:styleId="19">
    <w:name w:val="Strong"/>
    <w:basedOn w:val="18"/>
    <w:qFormat/>
    <w:uiPriority w:val="22"/>
    <w:rPr>
      <w:b/>
      <w:bCs/>
    </w:rPr>
  </w:style>
  <w:style w:type="character" w:styleId="20">
    <w:name w:val="Hyperlink"/>
    <w:qFormat/>
    <w:uiPriority w:val="99"/>
    <w:rPr>
      <w:rFonts w:ascii="Times New Roman" w:hAnsi="Times New Roman" w:eastAsia="宋体"/>
      <w:color w:val="auto"/>
      <w:spacing w:val="0"/>
      <w:w w:val="100"/>
      <w:position w:val="0"/>
      <w:sz w:val="21"/>
      <w:u w:val="none"/>
      <w:vertAlign w:val="baseline"/>
    </w:rPr>
  </w:style>
  <w:style w:type="character" w:styleId="21">
    <w:name w:val="annotation reference"/>
    <w:semiHidden/>
    <w:qFormat/>
    <w:uiPriority w:val="0"/>
    <w:rPr>
      <w:sz w:val="21"/>
      <w:szCs w:val="21"/>
    </w:rPr>
  </w:style>
  <w:style w:type="paragraph" w:customStyle="1" w:styleId="2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
    <w:name w:val="段"/>
    <w:link w:val="41"/>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4">
    <w:name w:val="章标题 Char"/>
    <w:qFormat/>
    <w:uiPriority w:val="0"/>
    <w:rPr>
      <w:rFonts w:ascii="黑体" w:eastAsia="黑体"/>
      <w:sz w:val="21"/>
      <w:lang w:val="en-US" w:eastAsia="zh-CN" w:bidi="ar-SA"/>
    </w:rPr>
  </w:style>
  <w:style w:type="character" w:customStyle="1" w:styleId="25">
    <w:name w:val="页眉 字符"/>
    <w:link w:val="12"/>
    <w:qFormat/>
    <w:uiPriority w:val="0"/>
    <w:rPr>
      <w:kern w:val="2"/>
      <w:sz w:val="18"/>
      <w:szCs w:val="18"/>
    </w:rPr>
  </w:style>
  <w:style w:type="character" w:customStyle="1" w:styleId="26">
    <w:name w:val="页脚 字符"/>
    <w:link w:val="11"/>
    <w:qFormat/>
    <w:uiPriority w:val="99"/>
    <w:rPr>
      <w:kern w:val="2"/>
      <w:sz w:val="18"/>
      <w:szCs w:val="18"/>
    </w:rPr>
  </w:style>
  <w:style w:type="paragraph" w:customStyle="1" w:styleId="27">
    <w:name w:val="前言、引言标题"/>
    <w:next w:val="1"/>
    <w:qFormat/>
    <w:uiPriority w:val="0"/>
    <w:pPr>
      <w:shd w:val="clear" w:color="FFFFFF" w:fill="FFFFFF"/>
      <w:tabs>
        <w:tab w:val="left" w:pos="1740"/>
      </w:tabs>
      <w:spacing w:before="640" w:after="560"/>
      <w:ind w:left="1740" w:hanging="420"/>
      <w:jc w:val="center"/>
      <w:outlineLvl w:val="0"/>
    </w:pPr>
    <w:rPr>
      <w:rFonts w:ascii="黑体" w:hAnsi="Times New Roman" w:eastAsia="黑体" w:cs="Times New Roman"/>
      <w:sz w:val="32"/>
      <w:lang w:val="en-US" w:eastAsia="zh-CN" w:bidi="ar-SA"/>
    </w:rPr>
  </w:style>
  <w:style w:type="paragraph" w:customStyle="1" w:styleId="28">
    <w:name w:val="章标题"/>
    <w:next w:val="1"/>
    <w:qFormat/>
    <w:uiPriority w:val="0"/>
    <w:pPr>
      <w:tabs>
        <w:tab w:val="left" w:pos="960"/>
      </w:tabs>
      <w:spacing w:beforeLines="50" w:afterLines="50"/>
      <w:ind w:left="960" w:hanging="420"/>
      <w:jc w:val="both"/>
      <w:outlineLvl w:val="1"/>
    </w:pPr>
    <w:rPr>
      <w:rFonts w:ascii="黑体" w:hAnsi="Times New Roman" w:eastAsia="黑体" w:cs="Times New Roman"/>
      <w:sz w:val="21"/>
      <w:lang w:val="en-US" w:eastAsia="zh-CN" w:bidi="ar-SA"/>
    </w:rPr>
  </w:style>
  <w:style w:type="paragraph" w:customStyle="1" w:styleId="29">
    <w:name w:val="一级条标题"/>
    <w:basedOn w:val="28"/>
    <w:next w:val="1"/>
    <w:link w:val="30"/>
    <w:qFormat/>
    <w:uiPriority w:val="0"/>
    <w:pPr>
      <w:spacing w:beforeLines="0" w:afterLines="0"/>
      <w:outlineLvl w:val="2"/>
    </w:pPr>
    <w:rPr>
      <w:kern w:val="2"/>
    </w:rPr>
  </w:style>
  <w:style w:type="character" w:customStyle="1" w:styleId="30">
    <w:name w:val="一级条标题 Char"/>
    <w:link w:val="29"/>
    <w:qFormat/>
    <w:uiPriority w:val="0"/>
    <w:rPr>
      <w:rFonts w:ascii="黑体" w:eastAsia="黑体"/>
      <w:kern w:val="2"/>
      <w:sz w:val="21"/>
      <w:lang w:val="en-US" w:eastAsia="zh-CN" w:bidi="ar-SA"/>
    </w:rPr>
  </w:style>
  <w:style w:type="paragraph" w:customStyle="1" w:styleId="31">
    <w:name w:val="二级条标题"/>
    <w:basedOn w:val="29"/>
    <w:next w:val="1"/>
    <w:qFormat/>
    <w:uiPriority w:val="0"/>
    <w:pPr>
      <w:tabs>
        <w:tab w:val="left" w:pos="360"/>
      </w:tabs>
      <w:outlineLvl w:val="3"/>
    </w:pPr>
  </w:style>
  <w:style w:type="paragraph" w:customStyle="1" w:styleId="32">
    <w:name w:val="四级条标题"/>
    <w:basedOn w:val="1"/>
    <w:next w:val="1"/>
    <w:qFormat/>
    <w:uiPriority w:val="0"/>
    <w:pPr>
      <w:widowControl/>
      <w:tabs>
        <w:tab w:val="left" w:pos="3000"/>
      </w:tabs>
      <w:ind w:left="3000" w:hanging="420"/>
      <w:outlineLvl w:val="5"/>
    </w:pPr>
    <w:rPr>
      <w:rFonts w:ascii="黑体" w:eastAsia="黑体"/>
      <w:szCs w:val="20"/>
    </w:rPr>
  </w:style>
  <w:style w:type="paragraph" w:customStyle="1" w:styleId="33">
    <w:name w:val="三级条标题"/>
    <w:basedOn w:val="31"/>
    <w:next w:val="23"/>
    <w:qFormat/>
    <w:uiPriority w:val="0"/>
    <w:pPr>
      <w:jc w:val="left"/>
      <w:outlineLvl w:val="4"/>
    </w:pPr>
    <w:rPr>
      <w:rFonts w:ascii="Times New Roman"/>
      <w:kern w:val="0"/>
    </w:rPr>
  </w:style>
  <w:style w:type="paragraph" w:customStyle="1" w:styleId="34">
    <w:name w:val="列出段落1"/>
    <w:basedOn w:val="1"/>
    <w:qFormat/>
    <w:uiPriority w:val="34"/>
    <w:pPr>
      <w:ind w:firstLine="420" w:firstLineChars="200"/>
    </w:pPr>
    <w:rPr>
      <w:rFonts w:ascii="Calibri" w:hAnsi="Calibri"/>
      <w:szCs w:val="22"/>
    </w:rPr>
  </w:style>
  <w:style w:type="paragraph" w:customStyle="1" w:styleId="35">
    <w:name w:val="列项——（一级）"/>
    <w:qFormat/>
    <w:uiPriority w:val="0"/>
    <w:pPr>
      <w:widowControl w:val="0"/>
      <w:numPr>
        <w:ilvl w:val="0"/>
        <w:numId w:val="1"/>
      </w:numPr>
      <w:jc w:val="both"/>
    </w:pPr>
    <w:rPr>
      <w:rFonts w:ascii="宋体" w:hAnsi="Times New Roman" w:eastAsia="宋体" w:cs="Times New Roman"/>
      <w:sz w:val="21"/>
      <w:lang w:val="en-US" w:eastAsia="zh-CN" w:bidi="ar-SA"/>
    </w:rPr>
  </w:style>
  <w:style w:type="paragraph" w:customStyle="1" w:styleId="36">
    <w:name w:val="列项●（二级）"/>
    <w:qFormat/>
    <w:uiPriority w:val="0"/>
    <w:pPr>
      <w:numPr>
        <w:ilvl w:val="1"/>
        <w:numId w:val="1"/>
      </w:numPr>
      <w:tabs>
        <w:tab w:val="left" w:pos="840"/>
      </w:tabs>
      <w:jc w:val="both"/>
    </w:pPr>
    <w:rPr>
      <w:rFonts w:ascii="宋体" w:hAnsi="Times New Roman" w:eastAsia="宋体" w:cs="Times New Roman"/>
      <w:sz w:val="21"/>
      <w:lang w:val="en-US" w:eastAsia="zh-CN" w:bidi="ar-SA"/>
    </w:rPr>
  </w:style>
  <w:style w:type="paragraph" w:customStyle="1" w:styleId="37">
    <w:name w:val="数字编号列项（二级）"/>
    <w:qFormat/>
    <w:uiPriority w:val="0"/>
    <w:pPr>
      <w:numPr>
        <w:ilvl w:val="1"/>
        <w:numId w:val="2"/>
      </w:numPr>
      <w:jc w:val="both"/>
    </w:pPr>
    <w:rPr>
      <w:rFonts w:ascii="宋体" w:hAnsi="Times New Roman" w:eastAsia="宋体" w:cs="Times New Roman"/>
      <w:sz w:val="21"/>
      <w:lang w:val="en-US" w:eastAsia="zh-CN" w:bidi="ar-SA"/>
    </w:rPr>
  </w:style>
  <w:style w:type="paragraph" w:customStyle="1" w:styleId="38">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39">
    <w:name w:val="列项◆（三级）"/>
    <w:basedOn w:val="1"/>
    <w:qFormat/>
    <w:uiPriority w:val="0"/>
    <w:pPr>
      <w:numPr>
        <w:ilvl w:val="2"/>
        <w:numId w:val="1"/>
      </w:numPr>
    </w:pPr>
    <w:rPr>
      <w:rFonts w:ascii="宋体"/>
      <w:szCs w:val="21"/>
    </w:rPr>
  </w:style>
  <w:style w:type="paragraph" w:customStyle="1" w:styleId="40">
    <w:name w:val="编号列项（三级）"/>
    <w:qFormat/>
    <w:uiPriority w:val="0"/>
    <w:pPr>
      <w:numPr>
        <w:ilvl w:val="2"/>
        <w:numId w:val="2"/>
      </w:numPr>
    </w:pPr>
    <w:rPr>
      <w:rFonts w:ascii="宋体" w:hAnsi="Times New Roman" w:eastAsia="宋体" w:cs="Times New Roman"/>
      <w:sz w:val="21"/>
      <w:lang w:val="en-US" w:eastAsia="zh-CN" w:bidi="ar-SA"/>
    </w:rPr>
  </w:style>
  <w:style w:type="character" w:customStyle="1" w:styleId="41">
    <w:name w:val="段 Char"/>
    <w:link w:val="23"/>
    <w:qFormat/>
    <w:uiPriority w:val="0"/>
    <w:rPr>
      <w:rFonts w:ascii="宋体"/>
      <w:sz w:val="21"/>
      <w:lang w:bidi="ar-SA"/>
    </w:rPr>
  </w:style>
  <w:style w:type="character" w:customStyle="1" w:styleId="42">
    <w:name w:val="apple-converted-space"/>
    <w:basedOn w:val="18"/>
    <w:qFormat/>
    <w:uiPriority w:val="0"/>
  </w:style>
  <w:style w:type="paragraph" w:customStyle="1" w:styleId="43">
    <w:name w:val="我的正文"/>
    <w:basedOn w:val="1"/>
    <w:link w:val="44"/>
    <w:qFormat/>
    <w:uiPriority w:val="0"/>
    <w:pPr>
      <w:spacing w:line="360" w:lineRule="auto"/>
      <w:ind w:firstLine="539"/>
    </w:pPr>
    <w:rPr>
      <w:sz w:val="24"/>
    </w:rPr>
  </w:style>
  <w:style w:type="character" w:customStyle="1" w:styleId="44">
    <w:name w:val="我的正文 Char"/>
    <w:link w:val="43"/>
    <w:qFormat/>
    <w:uiPriority w:val="0"/>
    <w:rPr>
      <w:kern w:val="2"/>
      <w:sz w:val="24"/>
      <w:szCs w:val="24"/>
    </w:rPr>
  </w:style>
  <w:style w:type="paragraph" w:customStyle="1" w:styleId="45">
    <w:name w:val="_Style 36"/>
    <w:basedOn w:val="1"/>
    <w:next w:val="46"/>
    <w:qFormat/>
    <w:uiPriority w:val="34"/>
    <w:pPr>
      <w:ind w:firstLine="420" w:firstLineChars="200"/>
    </w:pPr>
    <w:rPr>
      <w:szCs w:val="22"/>
    </w:rPr>
  </w:style>
  <w:style w:type="paragraph" w:styleId="46">
    <w:name w:val="List Paragraph"/>
    <w:basedOn w:val="1"/>
    <w:unhideWhenUsed/>
    <w:qFormat/>
    <w:uiPriority w:val="99"/>
    <w:pPr>
      <w:ind w:firstLine="420" w:firstLineChars="200"/>
    </w:pPr>
  </w:style>
  <w:style w:type="paragraph" w:customStyle="1" w:styleId="47">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8">
    <w:name w:val="标准文件_段"/>
    <w:link w:val="4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9">
    <w:name w:val="标准文件_段 Char"/>
    <w:link w:val="48"/>
    <w:qFormat/>
    <w:uiPriority w:val="0"/>
    <w:rPr>
      <w:rFonts w:ascii="宋体"/>
      <w:sz w:val="21"/>
    </w:rPr>
  </w:style>
  <w:style w:type="character" w:customStyle="1" w:styleId="50">
    <w:name w:val="标题 3 字符"/>
    <w:basedOn w:val="18"/>
    <w:link w:val="4"/>
    <w:semiHidden/>
    <w:qFormat/>
    <w:uiPriority w:val="0"/>
    <w:rPr>
      <w:b/>
      <w:bCs/>
      <w:kern w:val="2"/>
      <w:sz w:val="32"/>
      <w:szCs w:val="32"/>
    </w:rPr>
  </w:style>
  <w:style w:type="character" w:customStyle="1" w:styleId="51">
    <w:name w:val="标题 4 字符"/>
    <w:basedOn w:val="18"/>
    <w:link w:val="5"/>
    <w:qFormat/>
    <w:uiPriority w:val="0"/>
    <w:rPr>
      <w:rFonts w:asciiTheme="majorHAnsi" w:hAnsiTheme="majorHAnsi" w:eastAsiaTheme="majorEastAsia" w:cstheme="majorBidi"/>
      <w:b/>
      <w:bCs/>
      <w:kern w:val="2"/>
      <w:sz w:val="28"/>
      <w:szCs w:val="28"/>
    </w:rPr>
  </w:style>
  <w:style w:type="paragraph" w:customStyle="1" w:styleId="52">
    <w:name w:val="标准文件_正文图标题"/>
    <w:next w:val="48"/>
    <w:qFormat/>
    <w:uiPriority w:val="0"/>
    <w:pPr>
      <w:numPr>
        <w:ilvl w:val="0"/>
        <w:numId w:val="3"/>
      </w:numPr>
      <w:spacing w:before="50" w:beforeLines="50" w:after="50" w:afterLines="50"/>
      <w:jc w:val="center"/>
    </w:pPr>
    <w:rPr>
      <w:rFonts w:ascii="黑体" w:hAnsi="Times New Roman" w:eastAsia="黑体" w:cs="Times New Roman"/>
      <w:sz w:val="21"/>
      <w:lang w:val="en-US" w:eastAsia="zh-CN" w:bidi="ar-SA"/>
    </w:rPr>
  </w:style>
  <w:style w:type="paragraph" w:customStyle="1" w:styleId="53">
    <w:name w:val="标准文件_一级无标题"/>
    <w:basedOn w:val="54"/>
    <w:qFormat/>
    <w:uiPriority w:val="0"/>
    <w:pPr>
      <w:spacing w:before="0" w:beforeLines="0" w:after="0" w:afterLines="0"/>
      <w:outlineLvl w:val="9"/>
    </w:pPr>
    <w:rPr>
      <w:rFonts w:ascii="宋体" w:eastAsia="宋体"/>
    </w:rPr>
  </w:style>
  <w:style w:type="paragraph" w:customStyle="1" w:styleId="54">
    <w:name w:val="标准文件_一级条标题"/>
    <w:basedOn w:val="55"/>
    <w:next w:val="48"/>
    <w:qFormat/>
    <w:uiPriority w:val="0"/>
    <w:pPr>
      <w:numPr>
        <w:ilvl w:val="2"/>
      </w:numPr>
      <w:spacing w:before="50" w:beforeLines="50" w:after="50" w:afterLines="50"/>
      <w:outlineLvl w:val="1"/>
    </w:pPr>
  </w:style>
  <w:style w:type="paragraph" w:customStyle="1" w:styleId="55">
    <w:name w:val="标准文件_章标题"/>
    <w:next w:val="48"/>
    <w:qFormat/>
    <w:uiPriority w:val="0"/>
    <w:pPr>
      <w:numPr>
        <w:ilvl w:val="1"/>
        <w:numId w:val="4"/>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6">
    <w:name w:val="标准文件_二级无标题"/>
    <w:basedOn w:val="57"/>
    <w:qFormat/>
    <w:uiPriority w:val="0"/>
    <w:pPr>
      <w:spacing w:before="0" w:beforeLines="0" w:after="0" w:afterLines="0"/>
      <w:outlineLvl w:val="9"/>
    </w:pPr>
    <w:rPr>
      <w:rFonts w:ascii="宋体" w:eastAsia="宋体"/>
    </w:rPr>
  </w:style>
  <w:style w:type="paragraph" w:customStyle="1" w:styleId="57">
    <w:name w:val="标准文件_二级条标题"/>
    <w:next w:val="48"/>
    <w:qFormat/>
    <w:uiPriority w:val="0"/>
    <w:pPr>
      <w:widowControl w:val="0"/>
      <w:numPr>
        <w:ilvl w:val="3"/>
        <w:numId w:val="4"/>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58">
    <w:name w:val="标题 1 字符"/>
    <w:basedOn w:val="18"/>
    <w:link w:val="2"/>
    <w:qFormat/>
    <w:uiPriority w:val="0"/>
    <w:rPr>
      <w:b/>
      <w:bCs/>
      <w:kern w:val="44"/>
      <w:sz w:val="44"/>
      <w:szCs w:val="44"/>
    </w:rPr>
  </w:style>
  <w:style w:type="paragraph" w:customStyle="1" w:styleId="5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60">
    <w:name w:val="日期 字符"/>
    <w:basedOn w:val="18"/>
    <w:link w:val="9"/>
    <w:qFormat/>
    <w:uiPriority w:val="0"/>
    <w:rPr>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DB3B-AF54-42A9-B6E0-2DADA46F73C1}">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25</Pages>
  <Words>11943</Words>
  <Characters>12478</Characters>
  <Lines>97</Lines>
  <Paragraphs>27</Paragraphs>
  <TotalTime>256</TotalTime>
  <ScaleCrop>false</ScaleCrop>
  <LinksUpToDate>false</LinksUpToDate>
  <CharactersWithSpaces>12604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2026-04-27T09:12:00Z</dcterms:created>
  <dc:creator>hp</dc:creator>
  <cp:lastModifiedBy>春天</cp:lastModifiedBy>
  <cp:lastPrinted>2009-11-16T21:21:00Z</cp:lastPrinted>
  <dcterms:modified xsi:type="dcterms:W3CDTF">2026-08-24T08:20:26Z</dcterms:modified>
  <dc:title>国家标准《信息安全管理实用规则》</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4F3B3624846840FE863F539C5068B71C_13</vt:lpwstr>
  </property>
  <property fmtid="{D5CDD505-2E9C-101B-9397-08002B2CF9AE}" pid="4" name="KSOTemplateDocerSaveRecord">
    <vt:lpwstr>eyJoZGlkIjoiNzE1MjY1NDMzMGM3YWFjOGUxYTVkZTNkYzllOWJlYjAiLCJ1c2VySWQiOiIxMDg0NDQzNTE5In0=</vt:lpwstr>
  </property>
</Properties>
</file>